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4"/>
      </w:pPr>
    </w:p>
    <w:p>
      <w:pPr>
        <w:pStyle w:val="24"/>
      </w:pPr>
    </w:p>
    <w:p>
      <w:pPr>
        <w:pStyle w:val="24"/>
      </w:pPr>
    </w:p>
    <w:p>
      <w:pPr>
        <w:pStyle w:val="24"/>
      </w:pPr>
    </w:p>
    <w:p>
      <w:pPr>
        <w:pStyle w:val="24"/>
      </w:pPr>
    </w:p>
    <w:p>
      <w:pPr>
        <w:pStyle w:val="24"/>
        <w:rPr>
          <w:rFonts w:hint="eastAsia"/>
        </w:rPr>
      </w:pPr>
      <w:r>
        <w:rPr>
          <w:rFonts w:hint="eastAsia"/>
        </w:rPr>
        <w:t>中国通信标准化协会综合管理平台</w:t>
      </w:r>
    </w:p>
    <w:p>
      <w:pPr>
        <w:pStyle w:val="24"/>
        <w:rPr>
          <w:rFonts w:hint="default"/>
          <w:lang w:val="en-US"/>
        </w:rPr>
      </w:pPr>
      <w:r>
        <w:rPr>
          <w:rFonts w:hint="eastAsia"/>
        </w:rPr>
        <w:t>使用手册</w:t>
      </w:r>
      <w:bookmarkStart w:id="117" w:name="_GoBack"/>
      <w:bookmarkEnd w:id="117"/>
      <w:r>
        <w:rPr>
          <w:rFonts w:hint="eastAsia"/>
        </w:rPr>
        <w:t>V1.</w:t>
      </w:r>
      <w:r>
        <w:t>9</w:t>
      </w:r>
      <w:r>
        <w:rPr>
          <w:rFonts w:hint="default"/>
          <w:lang w:val="en-US"/>
        </w:rPr>
        <w:t>.1</w:t>
      </w:r>
    </w:p>
    <w:p>
      <w:pPr>
        <w:ind w:firstLine="480"/>
      </w:pPr>
    </w:p>
    <w:p>
      <w:pPr>
        <w:widowControl/>
        <w:spacing w:line="240" w:lineRule="auto"/>
        <w:ind w:firstLine="0" w:firstLineChars="0"/>
        <w:jc w:val="left"/>
      </w:pPr>
      <w:r>
        <w:br w:type="page"/>
      </w:r>
    </w:p>
    <w:p>
      <w:pPr>
        <w:ind w:firstLine="480"/>
      </w:pPr>
    </w:p>
    <w:p>
      <w:pPr>
        <w:ind w:firstLine="480"/>
        <w:jc w:val="center"/>
      </w:pPr>
      <w:r>
        <w:rPr>
          <w:rFonts w:hint="eastAsia"/>
        </w:rPr>
        <w:t>目录</w:t>
      </w:r>
    </w:p>
    <w:sdt>
      <w:sdtPr>
        <w:rPr>
          <w:rFonts w:ascii="宋体" w:eastAsia="宋体" w:hAnsiTheme="minorHAnsi" w:cstheme="minorBidi"/>
          <w:b w:val="0"/>
          <w:bCs w:val="0"/>
          <w:color w:val="auto"/>
          <w:kern w:val="2"/>
          <w:sz w:val="24"/>
          <w:szCs w:val="22"/>
          <w:lang w:val="zh-CN"/>
        </w:rPr>
        <w:id w:val="1324152394"/>
        <w:docPartObj>
          <w:docPartGallery w:val="Table of Contents"/>
          <w:docPartUnique/>
        </w:docPartObj>
      </w:sdtPr>
      <w:sdtEndPr>
        <w:rPr>
          <w:rFonts w:ascii="宋体" w:eastAsia="宋体" w:hAnsiTheme="minorHAnsi" w:cstheme="minorBidi"/>
          <w:b w:val="0"/>
          <w:bCs w:val="0"/>
          <w:color w:val="auto"/>
          <w:kern w:val="2"/>
          <w:sz w:val="24"/>
          <w:szCs w:val="22"/>
          <w:lang w:val="en-US"/>
        </w:rPr>
      </w:sdtEndPr>
      <w:sdtContent>
        <w:p>
          <w:pPr>
            <w:pStyle w:val="61"/>
            <w:ind w:firstLine="480"/>
          </w:pPr>
          <w:r>
            <w:rPr>
              <w:lang w:val="zh-CN"/>
            </w:rPr>
            <w:t>目录</w:t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 w:val="0"/>
              <w:bCs w:val="0"/>
            </w:rPr>
            <w:fldChar w:fldCharType="begin"/>
          </w:r>
          <w:r>
            <w:instrText xml:space="preserve">TOC \o "1-3" \h \z \u</w:instrText>
          </w:r>
          <w:r>
            <w:rPr>
              <w:b w:val="0"/>
              <w:bCs w:val="0"/>
            </w:rPr>
            <w:fldChar w:fldCharType="separate"/>
          </w:r>
          <w:r>
            <w:rPr>
              <w:bCs w:val="0"/>
            </w:rPr>
            <w:fldChar w:fldCharType="begin"/>
          </w:r>
          <w:r>
            <w:rPr>
              <w:bCs w:val="0"/>
            </w:rPr>
            <w:instrText xml:space="preserve"> HYPERLINK \l _Toc2106928786 </w:instrText>
          </w:r>
          <w:r>
            <w:rPr>
              <w:bCs w:val="0"/>
            </w:rPr>
            <w:fldChar w:fldCharType="separate"/>
          </w:r>
          <w:r>
            <w:rPr>
              <w:rFonts w:hint="eastAsia"/>
            </w:rPr>
            <w:t>1 新会员申请及缴费</w:t>
          </w:r>
          <w:r>
            <w:tab/>
          </w:r>
          <w:r>
            <w:fldChar w:fldCharType="begin"/>
          </w:r>
          <w:r>
            <w:instrText xml:space="preserve"> PAGEREF _Toc2106928786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 w:val="0"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_Toc1294250919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 xml:space="preserve">1.1 </w:t>
          </w:r>
          <w:r>
            <w:t>登录门户</w:t>
          </w:r>
          <w:r>
            <w:tab/>
          </w:r>
          <w:r>
            <w:fldChar w:fldCharType="begin"/>
          </w:r>
          <w:r>
            <w:instrText xml:space="preserve"> PAGEREF _Toc1294250919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_Toc613335170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 xml:space="preserve">1.2 </w:t>
          </w:r>
          <w:r>
            <w:t>点击注册进行企业账号注册</w:t>
          </w:r>
          <w:r>
            <w:tab/>
          </w:r>
          <w:r>
            <w:fldChar w:fldCharType="begin"/>
          </w:r>
          <w:r>
            <w:instrText xml:space="preserve"> PAGEREF _Toc613335170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_Toc402696590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 xml:space="preserve">1.3 </w:t>
          </w:r>
          <w:r>
            <w:t>注册完成后点击会员申请</w:t>
          </w:r>
          <w:r>
            <w:tab/>
          </w:r>
          <w:r>
            <w:fldChar w:fldCharType="begin"/>
          </w:r>
          <w:r>
            <w:instrText xml:space="preserve"> PAGEREF _Toc402696590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_Toc1400616433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1.4 点击会员申请按钮</w:t>
          </w:r>
          <w:r>
            <w:tab/>
          </w:r>
          <w:r>
            <w:fldChar w:fldCharType="begin"/>
          </w:r>
          <w:r>
            <w:instrText xml:space="preserve"> PAGEREF _Toc1400616433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_Toc1592134664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1.5 选择TC/WG</w:t>
          </w:r>
          <w:r>
            <w:tab/>
          </w:r>
          <w:r>
            <w:fldChar w:fldCharType="begin"/>
          </w:r>
          <w:r>
            <w:instrText xml:space="preserve"> PAGEREF _Toc1592134664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_Toc1361056228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1.6 上传审核资料</w:t>
          </w:r>
          <w:r>
            <w:tab/>
          </w:r>
          <w:r>
            <w:fldChar w:fldCharType="begin"/>
          </w:r>
          <w:r>
            <w:instrText xml:space="preserve"> PAGEREF _Toc1361056228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_Toc276216152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1.7 办公室审核</w:t>
          </w:r>
          <w:r>
            <w:tab/>
          </w:r>
          <w:r>
            <w:fldChar w:fldCharType="begin"/>
          </w:r>
          <w:r>
            <w:instrText xml:space="preserve"> PAGEREF _Toc276216152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_Toc1652705497 </w:instrText>
          </w:r>
          <w:r>
            <w:rPr>
              <w:bCs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 xml:space="preserve">1.8 </w:t>
          </w:r>
          <w:r>
            <w:rPr>
              <w:rFonts w:hint="eastAsia"/>
            </w:rPr>
            <w:t>申请提前开票</w:t>
          </w:r>
          <w:r>
            <w:tab/>
          </w:r>
          <w:r>
            <w:fldChar w:fldCharType="begin"/>
          </w:r>
          <w:r>
            <w:instrText xml:space="preserve"> PAGEREF _Toc1652705497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_Toc1467797781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1.9 缴费</w:t>
          </w:r>
          <w:r>
            <w:tab/>
          </w:r>
          <w:r>
            <w:fldChar w:fldCharType="begin"/>
          </w:r>
          <w:r>
            <w:instrText xml:space="preserve"> PAGEREF _Toc1467797781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_Toc1132652178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1.10 权限开通</w:t>
          </w:r>
          <w:r>
            <w:tab/>
          </w:r>
          <w:r>
            <w:fldChar w:fldCharType="begin"/>
          </w:r>
          <w:r>
            <w:instrText xml:space="preserve"> PAGEREF _Toc1132652178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_Toc1190108638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1.11 发票开具和发票邮寄</w:t>
          </w:r>
          <w:r>
            <w:tab/>
          </w:r>
          <w:r>
            <w:fldChar w:fldCharType="begin"/>
          </w:r>
          <w:r>
            <w:instrText xml:space="preserve"> PAGEREF _Toc1190108638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_Toc493190708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1.12 图形化流程</w:t>
          </w:r>
          <w:r>
            <w:tab/>
          </w:r>
          <w:r>
            <w:fldChar w:fldCharType="begin"/>
          </w:r>
          <w:r>
            <w:instrText xml:space="preserve"> PAGEREF _Toc493190708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_Toc1916835583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2 老会员续费</w:t>
          </w:r>
          <w:r>
            <w:tab/>
          </w:r>
          <w:r>
            <w:fldChar w:fldCharType="begin"/>
          </w:r>
          <w:r>
            <w:instrText xml:space="preserve"> PAGEREF _Toc1916835583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_Toc1853454834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2.1 登录进入服务中心</w:t>
          </w:r>
          <w:r>
            <w:tab/>
          </w:r>
          <w:r>
            <w:fldChar w:fldCharType="begin"/>
          </w:r>
          <w:r>
            <w:instrText xml:space="preserve"> PAGEREF _Toc1853454834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_Toc1765095303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2.2 找回密码</w:t>
          </w:r>
          <w:r>
            <w:tab/>
          </w:r>
          <w:r>
            <w:fldChar w:fldCharType="begin"/>
          </w:r>
          <w:r>
            <w:instrText xml:space="preserve"> PAGEREF _Toc1765095303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_Toc617657863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2.3 首页点击续费按钮</w:t>
          </w:r>
          <w:r>
            <w:tab/>
          </w:r>
          <w:r>
            <w:fldChar w:fldCharType="begin"/>
          </w:r>
          <w:r>
            <w:instrText xml:space="preserve"> PAGEREF _Toc617657863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_Toc39753843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2.4 选择TC/WG</w:t>
          </w:r>
          <w:r>
            <w:tab/>
          </w:r>
          <w:r>
            <w:fldChar w:fldCharType="begin"/>
          </w:r>
          <w:r>
            <w:instrText xml:space="preserve"> PAGEREF _Toc39753843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_Toc275425084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2.5 办公室审核</w:t>
          </w:r>
          <w:r>
            <w:tab/>
          </w:r>
          <w:r>
            <w:fldChar w:fldCharType="begin"/>
          </w:r>
          <w:r>
            <w:instrText xml:space="preserve"> PAGEREF _Toc275425084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_Toc1242127503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2.6 申请提前开票</w:t>
          </w:r>
          <w:r>
            <w:tab/>
          </w:r>
          <w:r>
            <w:fldChar w:fldCharType="begin"/>
          </w:r>
          <w:r>
            <w:instrText xml:space="preserve"> PAGEREF _Toc1242127503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_Toc748410434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2.7 缴费</w:t>
          </w:r>
          <w:r>
            <w:tab/>
          </w:r>
          <w:r>
            <w:fldChar w:fldCharType="begin"/>
          </w:r>
          <w:r>
            <w:instrText xml:space="preserve"> PAGEREF _Toc748410434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_Toc722443759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2.8 权限开通</w:t>
          </w:r>
          <w:r>
            <w:tab/>
          </w:r>
          <w:r>
            <w:fldChar w:fldCharType="begin"/>
          </w:r>
          <w:r>
            <w:instrText xml:space="preserve"> PAGEREF _Toc722443759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_Toc239717375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2.9 发票开具和发票邮寄</w:t>
          </w:r>
          <w:r>
            <w:tab/>
          </w:r>
          <w:r>
            <w:fldChar w:fldCharType="begin"/>
          </w:r>
          <w:r>
            <w:instrText xml:space="preserve"> PAGEREF _Toc239717375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_Toc250599853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2.10 图形化流程</w:t>
          </w:r>
          <w:r>
            <w:tab/>
          </w:r>
          <w:r>
            <w:fldChar w:fldCharType="begin"/>
          </w:r>
          <w:r>
            <w:instrText xml:space="preserve"> PAGEREF _Toc250599853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_Toc616297604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 xml:space="preserve">3 </w:t>
          </w:r>
          <w:r>
            <w:t>子账号管理</w:t>
          </w:r>
          <w:r>
            <w:tab/>
          </w:r>
          <w:r>
            <w:fldChar w:fldCharType="begin"/>
          </w:r>
          <w:r>
            <w:instrText xml:space="preserve"> PAGEREF _Toc616297604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_Toc800200947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3.1 新增子账号</w:t>
          </w:r>
          <w:r>
            <w:tab/>
          </w:r>
          <w:r>
            <w:fldChar w:fldCharType="begin"/>
          </w:r>
          <w:r>
            <w:instrText xml:space="preserve"> PAGEREF _Toc800200947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_Toc1434718715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 xml:space="preserve">3.2 </w:t>
          </w:r>
          <w:r>
            <w:t>维护子账号</w:t>
          </w:r>
          <w:r>
            <w:tab/>
          </w:r>
          <w:r>
            <w:fldChar w:fldCharType="begin"/>
          </w:r>
          <w:r>
            <w:instrText xml:space="preserve"> PAGEREF _Toc1434718715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_Toc1371054489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4 会议管理</w:t>
          </w:r>
          <w:r>
            <w:tab/>
          </w:r>
          <w:r>
            <w:fldChar w:fldCharType="begin"/>
          </w:r>
          <w:r>
            <w:instrText xml:space="preserve"> PAGEREF _Toc1371054489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_Toc813264313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4.1 用户中心登录</w:t>
          </w:r>
          <w:r>
            <w:tab/>
          </w:r>
          <w:r>
            <w:fldChar w:fldCharType="begin"/>
          </w:r>
          <w:r>
            <w:instrText xml:space="preserve"> PAGEREF _Toc813264313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_Toc1947379083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4.2 会议报名</w:t>
          </w:r>
          <w:r>
            <w:tab/>
          </w:r>
          <w:r>
            <w:fldChar w:fldCharType="begin"/>
          </w:r>
          <w:r>
            <w:instrText xml:space="preserve"> PAGEREF _Toc1947379083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_Toc1949467701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4.3 报名信息填报</w:t>
          </w:r>
          <w:r>
            <w:tab/>
          </w:r>
          <w:r>
            <w:fldChar w:fldCharType="begin"/>
          </w:r>
          <w:r>
            <w:instrText xml:space="preserve"> PAGEREF _Toc1949467701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_Toc545648428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4.4 报名记录</w:t>
          </w:r>
          <w:r>
            <w:tab/>
          </w:r>
          <w:r>
            <w:fldChar w:fldCharType="begin"/>
          </w:r>
          <w:r>
            <w:instrText xml:space="preserve"> PAGEREF _Toc545648428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_Toc957956706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4.5 历史会议（主要是针对2020.6月以前的会议）</w:t>
          </w:r>
          <w:r>
            <w:tab/>
          </w:r>
          <w:r>
            <w:fldChar w:fldCharType="begin"/>
          </w:r>
          <w:r>
            <w:instrText xml:space="preserve"> PAGEREF _Toc957956706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_Toc693456183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5 标准项目工作站</w:t>
          </w:r>
          <w:r>
            <w:tab/>
          </w:r>
          <w:r>
            <w:fldChar w:fldCharType="begin"/>
          </w:r>
          <w:r>
            <w:instrText xml:space="preserve"> PAGEREF _Toc693456183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_Toc524315412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5.1 用户中心登录</w:t>
          </w:r>
          <w:r>
            <w:tab/>
          </w:r>
          <w:r>
            <w:fldChar w:fldCharType="begin"/>
          </w:r>
          <w:r>
            <w:instrText xml:space="preserve"> PAGEREF _Toc524315412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_Toc1043725843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5.2 标准项目工作站</w:t>
          </w:r>
          <w:r>
            <w:tab/>
          </w:r>
          <w:r>
            <w:fldChar w:fldCharType="begin"/>
          </w:r>
          <w:r>
            <w:instrText xml:space="preserve"> PAGEREF _Toc1043725843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_Toc1253814605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5.3 标准项目工作站-我提交的项目申请</w:t>
          </w:r>
          <w:r>
            <w:tab/>
          </w:r>
          <w:r>
            <w:fldChar w:fldCharType="begin"/>
          </w:r>
          <w:r>
            <w:instrText xml:space="preserve"> PAGEREF _Toc1253814605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_Toc1752521871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5.3.1 立项建议提交</w:t>
          </w:r>
          <w:r>
            <w:tab/>
          </w:r>
          <w:r>
            <w:fldChar w:fldCharType="begin"/>
          </w:r>
          <w:r>
            <w:instrText xml:space="preserve"> PAGEREF _Toc1752521871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_Toc1896867292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5.3.2 立项建议被退回</w:t>
          </w:r>
          <w:r>
            <w:tab/>
          </w:r>
          <w:r>
            <w:fldChar w:fldCharType="begin"/>
          </w:r>
          <w:r>
            <w:instrText xml:space="preserve"> PAGEREF _Toc1896867292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_Toc1253836929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5.3.3 上传立项建议书盖章扫描件</w:t>
          </w:r>
          <w:r>
            <w:tab/>
          </w:r>
          <w:r>
            <w:fldChar w:fldCharType="begin"/>
          </w:r>
          <w:r>
            <w:instrText xml:space="preserve"> PAGEREF _Toc1253836929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_Toc2127721339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5.3.4 立项阶段说明</w:t>
          </w:r>
          <w:r>
            <w:tab/>
          </w:r>
          <w:r>
            <w:fldChar w:fldCharType="begin"/>
          </w:r>
          <w:r>
            <w:instrText xml:space="preserve"> PAGEREF _Toc2127721339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_Toc714854729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 xml:space="preserve">5.4 </w:t>
          </w:r>
          <w:r>
            <w:t>标准</w:t>
          </w:r>
          <w:r>
            <w:rPr>
              <w:rFonts w:hint="eastAsia"/>
            </w:rPr>
            <w:t>项目</w:t>
          </w:r>
          <w:r>
            <w:t>工作站-提交</w:t>
          </w:r>
          <w:r>
            <w:rPr>
              <w:rFonts w:hint="eastAsia"/>
            </w:rPr>
            <w:t>和查询</w:t>
          </w:r>
          <w:r>
            <w:t>项目文稿</w:t>
          </w:r>
          <w:r>
            <w:tab/>
          </w:r>
          <w:r>
            <w:fldChar w:fldCharType="begin"/>
          </w:r>
          <w:r>
            <w:instrText xml:space="preserve"> PAGEREF _Toc714854729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_Toc1539908985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 xml:space="preserve">5.4.1 </w:t>
          </w:r>
          <w:r>
            <w:t>标准草案征求意见稿上传</w:t>
          </w:r>
          <w:r>
            <w:tab/>
          </w:r>
          <w:r>
            <w:fldChar w:fldCharType="begin"/>
          </w:r>
          <w:r>
            <w:instrText xml:space="preserve"> PAGEREF _Toc1539908985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_Toc1924880898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 xml:space="preserve">5.4.2 </w:t>
          </w:r>
          <w:r>
            <w:t>标准草案送审稿上传</w:t>
          </w:r>
          <w:r>
            <w:tab/>
          </w:r>
          <w:r>
            <w:fldChar w:fldCharType="begin"/>
          </w:r>
          <w:r>
            <w:instrText xml:space="preserve"> PAGEREF _Toc1924880898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_Toc1779594278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 xml:space="preserve">5.5 </w:t>
          </w:r>
          <w:r>
            <w:t>标准</w:t>
          </w:r>
          <w:r>
            <w:rPr>
              <w:rFonts w:hint="eastAsia"/>
            </w:rPr>
            <w:t>项目</w:t>
          </w:r>
          <w:r>
            <w:t>工作站-</w:t>
          </w:r>
          <w:r>
            <w:rPr>
              <w:rFonts w:hint="eastAsia"/>
            </w:rPr>
            <w:t>提交报批稿材料</w:t>
          </w:r>
          <w:r>
            <w:tab/>
          </w:r>
          <w:r>
            <w:fldChar w:fldCharType="begin"/>
          </w:r>
          <w:r>
            <w:instrText xml:space="preserve"> PAGEREF _Toc1779594278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_Toc1636278577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6 标准查询</w:t>
          </w:r>
          <w:r>
            <w:tab/>
          </w:r>
          <w:r>
            <w:fldChar w:fldCharType="begin"/>
          </w:r>
          <w:r>
            <w:instrText xml:space="preserve"> PAGEREF _Toc1636278577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_Toc258460157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6.1.1 门户的标准查询</w:t>
          </w:r>
          <w:r>
            <w:tab/>
          </w:r>
          <w:r>
            <w:fldChar w:fldCharType="begin"/>
          </w:r>
          <w:r>
            <w:instrText xml:space="preserve"> PAGEREF _Toc258460157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3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_Toc1727924465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6.1.2 服务中心的标准查询及下载</w:t>
          </w:r>
          <w:r>
            <w:tab/>
          </w:r>
          <w:r>
            <w:fldChar w:fldCharType="begin"/>
          </w:r>
          <w:r>
            <w:instrText xml:space="preserve"> PAGEREF _Toc1727924465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_Toc805124874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7 项目查询</w:t>
          </w:r>
          <w:r>
            <w:tab/>
          </w:r>
          <w:r>
            <w:fldChar w:fldCharType="begin"/>
          </w:r>
          <w:r>
            <w:instrText xml:space="preserve"> PAGEREF _Toc805124874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_Toc439297571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7.1 点击服务中心“项目查询”菜单</w:t>
          </w:r>
          <w:r>
            <w:tab/>
          </w:r>
          <w:r>
            <w:fldChar w:fldCharType="begin"/>
          </w:r>
          <w:r>
            <w:instrText xml:space="preserve"> PAGEREF _Toc439297571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_Toc225497411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7.2 项目查询可查询所有20阶段之后的项目信息</w:t>
          </w:r>
          <w:r>
            <w:tab/>
          </w:r>
          <w:r>
            <w:fldChar w:fldCharType="begin"/>
          </w:r>
          <w:r>
            <w:instrText xml:space="preserve"> PAGEREF _Toc225497411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_Toc1773833369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7.3 查询结果点击查看，会显示该项目的详情以及过程文稿</w:t>
          </w:r>
          <w:r>
            <w:tab/>
          </w:r>
          <w:r>
            <w:fldChar w:fldCharType="begin"/>
          </w:r>
          <w:r>
            <w:instrText xml:space="preserve"> PAGEREF _Toc1773833369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_Toc1449445129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8 标准科技奖</w:t>
          </w:r>
          <w:r>
            <w:tab/>
          </w:r>
          <w:r>
            <w:fldChar w:fldCharType="begin"/>
          </w:r>
          <w:r>
            <w:instrText xml:space="preserve"> PAGEREF _Toc1449445129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_Toc1917275182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8.1 点击服务中心“标准科技奖</w:t>
          </w:r>
          <w:r>
            <w:t>—</w:t>
          </w:r>
          <w:r>
            <w:rPr>
              <w:rFonts w:hint="eastAsia"/>
            </w:rPr>
            <w:t>科学技术奖申报”</w:t>
          </w:r>
          <w:r>
            <w:tab/>
          </w:r>
          <w:r>
            <w:fldChar w:fldCharType="begin"/>
          </w:r>
          <w:r>
            <w:instrText xml:space="preserve"> PAGEREF _Toc1917275182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_Toc651860639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8.2 填写时可选择下一步或暂存</w:t>
          </w:r>
          <w:r>
            <w:tab/>
          </w:r>
          <w:r>
            <w:fldChar w:fldCharType="begin"/>
          </w:r>
          <w:r>
            <w:instrText xml:space="preserve"> PAGEREF _Toc651860639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_Toc1507676326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8.3 暂存后在“我的申报书”中可继续填写</w:t>
          </w:r>
          <w:r>
            <w:tab/>
          </w:r>
          <w:r>
            <w:fldChar w:fldCharType="begin"/>
          </w:r>
          <w:r>
            <w:instrText xml:space="preserve"> PAGEREF _Toc1507676326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_Toc1356460129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8.4 图片内容需要插入，不可直接粘贴</w:t>
          </w:r>
          <w:r>
            <w:tab/>
          </w:r>
          <w:r>
            <w:fldChar w:fldCharType="begin"/>
          </w:r>
          <w:r>
            <w:instrText xml:space="preserve"> PAGEREF _Toc1356460129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_Toc338991551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9 标准项目工作站（外文版）</w:t>
          </w:r>
          <w:r>
            <w:tab/>
          </w:r>
          <w:r>
            <w:fldChar w:fldCharType="begin"/>
          </w:r>
          <w:r>
            <w:instrText xml:space="preserve"> PAGEREF _Toc338991551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_Toc156882166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10 IPR管理</w:t>
          </w:r>
          <w:r>
            <w:tab/>
          </w:r>
          <w:r>
            <w:fldChar w:fldCharType="begin"/>
          </w:r>
          <w:r>
            <w:instrText xml:space="preserve"> PAGEREF _Toc156882166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_Toc1756129093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10.1 IPR查询</w:t>
          </w:r>
          <w:r>
            <w:tab/>
          </w:r>
          <w:r>
            <w:fldChar w:fldCharType="begin"/>
          </w:r>
          <w:r>
            <w:instrText xml:space="preserve"> PAGEREF _Toc1756129093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_Toc246421683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11 历史项目及标准等信息查询</w:t>
          </w:r>
          <w:r>
            <w:tab/>
          </w:r>
          <w:r>
            <w:fldChar w:fldCharType="begin"/>
          </w:r>
          <w:r>
            <w:instrText xml:space="preserve"> PAGEREF _Toc246421683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_Toc1260754765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11.1 网站的重要历史信息已完全保留</w:t>
          </w:r>
          <w:r>
            <w:tab/>
          </w:r>
          <w:r>
            <w:fldChar w:fldCharType="begin"/>
          </w:r>
          <w:r>
            <w:instrText xml:space="preserve"> PAGEREF _Toc1260754765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_Toc284190406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11.2 历史会议查询</w:t>
          </w:r>
          <w:r>
            <w:tab/>
          </w:r>
          <w:r>
            <w:fldChar w:fldCharType="begin"/>
          </w:r>
          <w:r>
            <w:instrText xml:space="preserve"> PAGEREF _Toc284190406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_Toc384522714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11.3 历史项目信息查询</w:t>
          </w:r>
          <w:r>
            <w:tab/>
          </w:r>
          <w:r>
            <w:fldChar w:fldCharType="begin"/>
          </w:r>
          <w:r>
            <w:instrText xml:space="preserve"> PAGEREF _Toc384522714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22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_Toc894960375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11.4 标准信息查询</w:t>
          </w:r>
          <w:r>
            <w:tab/>
          </w:r>
          <w:r>
            <w:fldChar w:fldCharType="begin"/>
          </w:r>
          <w:r>
            <w:instrText xml:space="preserve"> PAGEREF _Toc894960375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_Toc623559037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12 服务中心入口</w:t>
          </w:r>
          <w:r>
            <w:tab/>
          </w:r>
          <w:r>
            <w:fldChar w:fldCharType="begin"/>
          </w:r>
          <w:r>
            <w:instrText xml:space="preserve"> PAGEREF _Toc623559037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pStyle w:val="18"/>
            <w:tabs>
              <w:tab w:val="right" w:leader="dot" w:pos="9070"/>
            </w:tabs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HYPERLINK \l _Toc436537499 </w:instrText>
          </w:r>
          <w:r>
            <w:rPr>
              <w:bCs/>
            </w:rPr>
            <w:fldChar w:fldCharType="separate"/>
          </w:r>
          <w:r>
            <w:rPr>
              <w:rFonts w:hint="eastAsia"/>
            </w:rPr>
            <w:t>13 网站技术支持</w:t>
          </w:r>
          <w:r>
            <w:tab/>
          </w:r>
          <w:r>
            <w:fldChar w:fldCharType="begin"/>
          </w:r>
          <w:r>
            <w:instrText xml:space="preserve"> PAGEREF _Toc436537499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bCs/>
            </w:rPr>
            <w:fldChar w:fldCharType="end"/>
          </w:r>
        </w:p>
        <w:p>
          <w:pPr>
            <w:ind w:firstLine="482"/>
          </w:pPr>
          <w:r>
            <w:rPr>
              <w:bCs/>
            </w:rPr>
            <w:fldChar w:fldCharType="end"/>
          </w:r>
        </w:p>
      </w:sdtContent>
    </w:sdt>
    <w:p>
      <w:pPr>
        <w:ind w:firstLine="480"/>
      </w:pPr>
    </w:p>
    <w:p>
      <w:pPr>
        <w:ind w:firstLine="0" w:firstLineChars="0"/>
      </w:pPr>
      <w:r>
        <w:br w:type="page"/>
      </w:r>
    </w:p>
    <w:p>
      <w:pPr>
        <w:pStyle w:val="2"/>
      </w:pPr>
      <w:bookmarkStart w:id="0" w:name="_Toc2106928786"/>
      <w:bookmarkStart w:id="1" w:name="_Toc46854643"/>
      <w:r>
        <w:rPr>
          <w:rFonts w:hint="eastAsia"/>
        </w:rPr>
        <w:t>新会员申请及缴费</w:t>
      </w:r>
      <w:bookmarkEnd w:id="0"/>
      <w:bookmarkEnd w:id="1"/>
    </w:p>
    <w:p>
      <w:pPr>
        <w:pStyle w:val="3"/>
      </w:pPr>
      <w:bookmarkStart w:id="2" w:name="_Toc1294250919"/>
      <w:bookmarkStart w:id="3" w:name="_Toc46854644"/>
      <w:r>
        <w:t>登录门户</w:t>
      </w:r>
      <w:bookmarkEnd w:id="2"/>
      <w:bookmarkEnd w:id="3"/>
    </w:p>
    <w:p>
      <w:pPr>
        <w:ind w:firstLine="480"/>
      </w:pPr>
      <w:r>
        <w:rPr>
          <w:rFonts w:hint="eastAsia"/>
        </w:rPr>
        <w:t>门户地址：</w:t>
      </w:r>
      <w:r>
        <w:t>https://www.ccsa.org.cn/</w:t>
      </w:r>
    </w:p>
    <w:p>
      <w:pPr>
        <w:ind w:firstLine="480"/>
      </w:pPr>
    </w:p>
    <w:p>
      <w:pPr>
        <w:pStyle w:val="3"/>
      </w:pPr>
      <w:bookmarkStart w:id="4" w:name="_Toc46854645"/>
      <w:bookmarkStart w:id="5" w:name="_Toc613335170"/>
      <w:r>
        <w:t>点击注册进行企业账号注册</w:t>
      </w:r>
      <w:bookmarkEnd w:id="4"/>
      <w:bookmarkEnd w:id="5"/>
    </w:p>
    <w:p>
      <w:pPr>
        <w:ind w:firstLine="480"/>
      </w:pPr>
      <w:r>
        <w:drawing>
          <wp:inline distT="0" distB="0" distL="0" distR="0">
            <wp:extent cx="5759450" cy="41503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402696590"/>
      <w:bookmarkStart w:id="7" w:name="_Toc46854646"/>
      <w:r>
        <w:t>注册完成后点击会员申请</w:t>
      </w:r>
      <w:bookmarkEnd w:id="6"/>
      <w:bookmarkEnd w:id="7"/>
    </w:p>
    <w:p>
      <w:pPr>
        <w:ind w:firstLine="480"/>
      </w:pPr>
      <w:r>
        <w:drawing>
          <wp:inline distT="0" distB="0" distL="114300" distR="114300">
            <wp:extent cx="5260975" cy="3030220"/>
            <wp:effectExtent l="0" t="0" r="15875" b="17780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C00000"/>
        </w:rPr>
      </w:pPr>
      <w:r>
        <w:rPr>
          <w:rFonts w:hint="eastAsia"/>
          <w:color w:val="C00000"/>
        </w:rPr>
        <w:t>PS：未登录状态使用注册的用户名密码登录，已登录状态会直接跳转至会员申请首页，未注册用户可在弹框页面直接点击注册。</w:t>
      </w:r>
    </w:p>
    <w:p>
      <w:pPr>
        <w:pStyle w:val="3"/>
      </w:pPr>
      <w:bookmarkStart w:id="8" w:name="_Toc1400616433"/>
      <w:bookmarkStart w:id="9" w:name="_Toc46854647"/>
      <w:r>
        <w:rPr>
          <w:rFonts w:hint="eastAsia"/>
        </w:rPr>
        <w:t>点击会员申请按钮</w:t>
      </w:r>
      <w:bookmarkEnd w:id="8"/>
      <w:bookmarkEnd w:id="9"/>
    </w:p>
    <w:p>
      <w:pPr>
        <w:ind w:firstLine="480"/>
      </w:pPr>
      <w:r>
        <w:drawing>
          <wp:inline distT="0" distB="0" distL="114300" distR="114300">
            <wp:extent cx="3905250" cy="1957705"/>
            <wp:effectExtent l="0" t="0" r="6350" b="2349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1592134664"/>
      <w:bookmarkStart w:id="11" w:name="_Toc46854648"/>
      <w:r>
        <w:rPr>
          <w:rFonts w:hint="eastAsia"/>
        </w:rPr>
        <w:t>选择TC/WG</w:t>
      </w:r>
      <w:bookmarkEnd w:id="10"/>
      <w:bookmarkEnd w:id="11"/>
    </w:p>
    <w:p>
      <w:pPr>
        <w:ind w:firstLine="480"/>
      </w:pPr>
      <w:r>
        <w:rPr>
          <w:rFonts w:hint="eastAsia"/>
        </w:rPr>
        <w:t>点击进入后选择TC/WG，并提交订单。</w:t>
      </w:r>
    </w:p>
    <w:p>
      <w:pPr>
        <w:ind w:firstLine="480"/>
      </w:pPr>
      <w:r>
        <w:drawing>
          <wp:inline distT="0" distB="0" distL="114300" distR="114300">
            <wp:extent cx="5273675" cy="2348230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C00000"/>
        </w:rPr>
      </w:pPr>
      <w:r>
        <w:rPr>
          <w:rFonts w:hint="eastAsia"/>
          <w:color w:val="C00000"/>
        </w:rPr>
        <w:t>PS：3GPP和oneM2M可另加选，标准推进委员会请联络相关联系人。</w:t>
      </w:r>
    </w:p>
    <w:p>
      <w:pPr>
        <w:ind w:firstLine="480"/>
        <w:rPr>
          <w:color w:val="C00000"/>
        </w:rPr>
      </w:pPr>
    </w:p>
    <w:p>
      <w:pPr>
        <w:pStyle w:val="3"/>
      </w:pPr>
      <w:bookmarkStart w:id="12" w:name="_Toc1361056228"/>
      <w:bookmarkStart w:id="13" w:name="_Toc46854649"/>
      <w:r>
        <w:rPr>
          <w:rFonts w:hint="eastAsia"/>
        </w:rPr>
        <w:t>上传审核资料</w:t>
      </w:r>
      <w:bookmarkEnd w:id="12"/>
      <w:bookmarkEnd w:id="13"/>
    </w:p>
    <w:p>
      <w:pPr>
        <w:ind w:firstLine="480"/>
      </w:pPr>
      <w:r>
        <w:rPr>
          <w:rFonts w:hint="eastAsia"/>
        </w:rPr>
        <w:t>提交完成后可进入订单上传审核资料。</w:t>
      </w:r>
    </w:p>
    <w:p>
      <w:pPr>
        <w:ind w:firstLine="480"/>
      </w:pPr>
      <w:r>
        <w:drawing>
          <wp:inline distT="0" distB="0" distL="114300" distR="114300">
            <wp:extent cx="3171825" cy="1833880"/>
            <wp:effectExtent l="0" t="0" r="3175" b="2032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点击上传审核资料。</w:t>
      </w:r>
    </w:p>
    <w:p>
      <w:pPr>
        <w:ind w:firstLine="480"/>
      </w:pPr>
      <w:r>
        <w:drawing>
          <wp:inline distT="0" distB="0" distL="114300" distR="114300">
            <wp:extent cx="5753100" cy="1845310"/>
            <wp:effectExtent l="0" t="0" r="12700" b="889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269230" cy="2116455"/>
            <wp:effectExtent l="0" t="0" r="7620" b="17145"/>
            <wp:docPr id="2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276216152"/>
      <w:bookmarkStart w:id="15" w:name="_Toc46854650"/>
      <w:r>
        <w:rPr>
          <w:rFonts w:hint="eastAsia"/>
        </w:rPr>
        <w:t>办公室审核</w:t>
      </w:r>
      <w:bookmarkEnd w:id="14"/>
      <w:bookmarkEnd w:id="15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上传审核资料后等待办公室审核。</w:t>
      </w:r>
    </w:p>
    <w:p>
      <w:pPr>
        <w:ind w:firstLine="480"/>
      </w:pPr>
      <w:r>
        <w:drawing>
          <wp:inline distT="0" distB="0" distL="114300" distR="114300">
            <wp:extent cx="5752465" cy="1846580"/>
            <wp:effectExtent l="0" t="0" r="13335" b="762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lang w:val="en-US" w:eastAsia="zh-CN"/>
        </w:rPr>
      </w:pPr>
      <w:bookmarkStart w:id="16" w:name="_Toc1652705497"/>
      <w:r>
        <w:rPr>
          <w:rFonts w:hint="eastAsia"/>
        </w:rPr>
        <w:t>申请提前开票</w:t>
      </w:r>
      <w:bookmarkEnd w:id="16"/>
    </w:p>
    <w:p>
      <w:pPr>
        <w:ind w:firstLine="480"/>
      </w:pPr>
      <w:r>
        <w:drawing>
          <wp:inline distT="0" distB="0" distL="114300" distR="114300">
            <wp:extent cx="5757545" cy="2240915"/>
            <wp:effectExtent l="0" t="0" r="8255" b="1968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1467797781"/>
      <w:bookmarkStart w:id="18" w:name="_Toc46854652"/>
      <w:r>
        <w:rPr>
          <w:rFonts w:hint="eastAsia"/>
        </w:rPr>
        <w:t>缴费</w:t>
      </w:r>
      <w:bookmarkEnd w:id="17"/>
      <w:bookmarkEnd w:id="18"/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</w:rPr>
        <w:t>协会办公室审核通过后，会自动向用户发送缴费通知邮件，也可在订单详情中查看缴费金额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如邮件未收到收费通知单，可在订单处下载。</w:t>
      </w:r>
    </w:p>
    <w:p>
      <w:pPr>
        <w:ind w:firstLine="480"/>
        <w:rPr>
          <w:rFonts w:hint="eastAsia"/>
          <w:lang w:val="en-US" w:eastAsia="zh-CN"/>
        </w:rPr>
      </w:pPr>
      <w:r>
        <w:drawing>
          <wp:inline distT="0" distB="0" distL="114300" distR="114300">
            <wp:extent cx="2019300" cy="1795780"/>
            <wp:effectExtent l="0" t="0" r="12700" b="7620"/>
            <wp:docPr id="9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448300" cy="4010025"/>
            <wp:effectExtent l="0" t="0" r="12700" b="3175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3"/>
      </w:pPr>
      <w:bookmarkStart w:id="19" w:name="_Toc46854653"/>
      <w:bookmarkStart w:id="20" w:name="_Toc1132652178"/>
      <w:r>
        <w:rPr>
          <w:rFonts w:hint="eastAsia"/>
        </w:rPr>
        <w:t>权限开通</w:t>
      </w:r>
      <w:bookmarkEnd w:id="19"/>
      <w:bookmarkEnd w:id="20"/>
    </w:p>
    <w:p>
      <w:pPr>
        <w:ind w:firstLine="480"/>
      </w:pPr>
      <w:r>
        <w:rPr>
          <w:rFonts w:hint="eastAsia"/>
        </w:rPr>
        <w:t>协会收到缴费后会进行权限开通。开通后用户会收到相应通知邮件。</w:t>
      </w:r>
    </w:p>
    <w:p>
      <w:pPr>
        <w:ind w:firstLine="480"/>
      </w:pPr>
    </w:p>
    <w:p>
      <w:pPr>
        <w:pStyle w:val="3"/>
      </w:pPr>
      <w:bookmarkStart w:id="21" w:name="_Toc46854654"/>
      <w:bookmarkStart w:id="22" w:name="_Toc1190108638"/>
      <w:r>
        <w:rPr>
          <w:rFonts w:hint="eastAsia"/>
        </w:rPr>
        <w:t>发票开具和发票邮寄</w:t>
      </w:r>
      <w:bookmarkEnd w:id="21"/>
      <w:bookmarkEnd w:id="22"/>
    </w:p>
    <w:p>
      <w:pPr>
        <w:ind w:firstLine="480"/>
      </w:pPr>
      <w:r>
        <w:rPr>
          <w:rFonts w:hint="eastAsia"/>
        </w:rPr>
        <w:t>协会根据缴费金额开具发票并进行发票寄送，用户可在订单详情中进行查看。</w:t>
      </w:r>
    </w:p>
    <w:p>
      <w:pPr>
        <w:ind w:firstLine="480"/>
      </w:pPr>
      <w:r>
        <w:drawing>
          <wp:inline distT="0" distB="0" distL="0" distR="0">
            <wp:extent cx="5759450" cy="1798320"/>
            <wp:effectExtent l="19050" t="0" r="0" b="0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553075" cy="4219575"/>
            <wp:effectExtent l="0" t="0" r="9525" b="22225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46854655"/>
      <w:bookmarkStart w:id="24" w:name="_Toc493190708"/>
      <w:r>
        <w:rPr>
          <w:rFonts w:hint="eastAsia"/>
        </w:rPr>
        <w:t>图形化流程</w:t>
      </w:r>
      <w:bookmarkEnd w:id="23"/>
      <w:bookmarkEnd w:id="24"/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</w:rPr>
        <w:t>在综合管理平台首页，我们提供了</w:t>
      </w:r>
      <w:r>
        <w:rPr>
          <w:rFonts w:hint="eastAsia"/>
          <w:lang w:val="en-US" w:eastAsia="zh-CN"/>
        </w:rPr>
        <w:t>订单状态查询入口</w:t>
      </w:r>
      <w:r>
        <w:rPr>
          <w:rFonts w:hint="eastAsia"/>
        </w:rPr>
        <w:t>。可</w:t>
      </w:r>
      <w:r>
        <w:rPr>
          <w:rFonts w:hint="eastAsia"/>
          <w:lang w:val="en-US" w:eastAsia="zh-CN"/>
        </w:rPr>
        <w:t>进行</w:t>
      </w:r>
      <w:r>
        <w:rPr>
          <w:rFonts w:hint="eastAsia"/>
        </w:rPr>
        <w:t>过程跟踪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点击对应流程可直接跳转到管理页面。</w:t>
      </w:r>
    </w:p>
    <w:p>
      <w:pPr>
        <w:ind w:firstLine="480"/>
      </w:pPr>
      <w:r>
        <w:drawing>
          <wp:inline distT="0" distB="0" distL="114300" distR="114300">
            <wp:extent cx="4524375" cy="1757680"/>
            <wp:effectExtent l="0" t="0" r="22225" b="203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248150" cy="1485900"/>
            <wp:effectExtent l="0" t="0" r="19050" b="1270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5" w:name="_Toc1916835583"/>
      <w:bookmarkStart w:id="26" w:name="_Toc46854656"/>
      <w:r>
        <w:rPr>
          <w:rFonts w:hint="eastAsia"/>
        </w:rPr>
        <w:t>老会员续费</w:t>
      </w:r>
      <w:bookmarkEnd w:id="25"/>
      <w:bookmarkEnd w:id="26"/>
    </w:p>
    <w:p>
      <w:pPr>
        <w:pStyle w:val="3"/>
      </w:pPr>
      <w:bookmarkStart w:id="27" w:name="_Toc1853454834"/>
      <w:bookmarkStart w:id="28" w:name="_Toc46854657"/>
      <w:r>
        <w:rPr>
          <w:rFonts w:hint="eastAsia"/>
        </w:rPr>
        <w:t>登录进入服务中心</w:t>
      </w:r>
      <w:bookmarkEnd w:id="27"/>
      <w:bookmarkEnd w:id="28"/>
    </w:p>
    <w:p>
      <w:pPr>
        <w:ind w:firstLine="480"/>
      </w:pPr>
      <w:r>
        <w:rPr>
          <w:rFonts w:hint="eastAsia"/>
        </w:rPr>
        <w:t>服务中心登录地址：</w:t>
      </w:r>
      <w:r>
        <w:t>https://www.ccsa.org.cn/webadmin</w:t>
      </w:r>
      <w:r>
        <w:rPr>
          <w:rFonts w:hint="eastAsia"/>
        </w:rPr>
        <w:t>。</w:t>
      </w:r>
    </w:p>
    <w:p>
      <w:pPr>
        <w:ind w:firstLine="480"/>
      </w:pPr>
      <w:r>
        <w:rPr>
          <w:rFonts w:hint="eastAsia"/>
        </w:rPr>
        <w:t>续费可不登录门户。</w:t>
      </w:r>
    </w:p>
    <w:p>
      <w:pPr>
        <w:ind w:firstLine="480"/>
      </w:pPr>
      <w:r>
        <w:drawing>
          <wp:inline distT="0" distB="0" distL="114300" distR="114300">
            <wp:extent cx="5757545" cy="2056765"/>
            <wp:effectExtent l="0" t="0" r="8255" b="635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Toc1765095303"/>
      <w:bookmarkStart w:id="30" w:name="_Toc46854658"/>
      <w:r>
        <w:rPr>
          <w:rFonts w:hint="eastAsia"/>
        </w:rPr>
        <w:t>找回密码</w:t>
      </w:r>
      <w:bookmarkEnd w:id="29"/>
      <w:bookmarkEnd w:id="30"/>
    </w:p>
    <w:p>
      <w:pPr>
        <w:ind w:firstLine="480"/>
      </w:pPr>
      <w:r>
        <w:rPr>
          <w:rFonts w:hint="eastAsia"/>
        </w:rPr>
        <w:t>新网站密码进行了重置，老用户需要进行密码找回</w:t>
      </w:r>
    </w:p>
    <w:p>
      <w:pPr>
        <w:ind w:firstLine="480"/>
      </w:pPr>
      <w:r>
        <w:drawing>
          <wp:inline distT="0" distB="0" distL="114300" distR="114300">
            <wp:extent cx="5273040" cy="1233805"/>
            <wp:effectExtent l="0" t="0" r="3810" b="444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3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输入原会员账号，手机号/邮箱。接收手机或邮件收到的验证码，</w:t>
      </w:r>
    </w:p>
    <w:p>
      <w:pPr>
        <w:ind w:firstLine="480"/>
      </w:pPr>
      <w:r>
        <w:rPr>
          <w:rFonts w:hint="eastAsia"/>
        </w:rPr>
        <w:t>修改密码，修改后，重新登录。</w:t>
      </w:r>
    </w:p>
    <w:p>
      <w:pPr>
        <w:ind w:firstLine="480"/>
      </w:pPr>
      <w:r>
        <w:drawing>
          <wp:inline distT="0" distB="0" distL="0" distR="0">
            <wp:extent cx="5759450" cy="259969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1" w:name="_Toc46854659"/>
      <w:bookmarkStart w:id="32" w:name="_Toc617657863"/>
      <w:r>
        <w:rPr>
          <w:rFonts w:hint="eastAsia"/>
        </w:rPr>
        <w:t>首页点击续费按钮</w:t>
      </w:r>
      <w:bookmarkEnd w:id="31"/>
      <w:bookmarkEnd w:id="32"/>
    </w:p>
    <w:p>
      <w:pPr>
        <w:ind w:firstLine="480"/>
      </w:pPr>
      <w:r>
        <w:drawing>
          <wp:inline distT="0" distB="0" distL="114300" distR="114300">
            <wp:extent cx="5266690" cy="1536065"/>
            <wp:effectExtent l="0" t="0" r="10160" b="698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3" w:name="_Toc39753843"/>
      <w:bookmarkStart w:id="34" w:name="_Toc46854660"/>
      <w:r>
        <w:rPr>
          <w:rFonts w:hint="eastAsia"/>
        </w:rPr>
        <w:t>选择TC/WG</w:t>
      </w:r>
      <w:bookmarkEnd w:id="33"/>
      <w:bookmarkEnd w:id="34"/>
    </w:p>
    <w:p>
      <w:pPr>
        <w:ind w:firstLine="480"/>
      </w:pPr>
      <w:r>
        <w:rPr>
          <w:rFonts w:hint="eastAsia"/>
        </w:rPr>
        <w:t>点击进入后选择TC/WG，并提交订单。</w:t>
      </w:r>
    </w:p>
    <w:p>
      <w:pPr>
        <w:ind w:firstLine="480"/>
      </w:pPr>
      <w:r>
        <w:drawing>
          <wp:inline distT="0" distB="0" distL="114300" distR="114300">
            <wp:extent cx="5273675" cy="2633980"/>
            <wp:effectExtent l="0" t="0" r="3175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C00000"/>
        </w:rPr>
      </w:pPr>
      <w:r>
        <w:rPr>
          <w:rFonts w:hint="eastAsia"/>
          <w:color w:val="C00000"/>
        </w:rPr>
        <w:t>PS：3GPP和oneM2M可另加选，标准推进委员会请联络相关联系人。</w:t>
      </w:r>
    </w:p>
    <w:p>
      <w:pPr>
        <w:pStyle w:val="3"/>
      </w:pPr>
      <w:bookmarkStart w:id="35" w:name="_Toc46854661"/>
      <w:bookmarkStart w:id="36" w:name="_Toc275425084"/>
      <w:r>
        <w:rPr>
          <w:rFonts w:hint="eastAsia"/>
        </w:rPr>
        <w:t>办公室审核</w:t>
      </w:r>
      <w:bookmarkEnd w:id="35"/>
      <w:bookmarkEnd w:id="36"/>
    </w:p>
    <w:p>
      <w:pPr>
        <w:ind w:firstLine="480"/>
      </w:pPr>
      <w:r>
        <w:drawing>
          <wp:inline distT="0" distB="0" distL="114300" distR="114300">
            <wp:extent cx="5756275" cy="2122170"/>
            <wp:effectExtent l="0" t="0" r="9525" b="11430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7" w:name="_Toc1242127503"/>
      <w:r>
        <w:rPr>
          <w:rFonts w:hint="eastAsia"/>
        </w:rPr>
        <w:t>申请提前开票</w:t>
      </w:r>
      <w:bookmarkEnd w:id="37"/>
    </w:p>
    <w:p>
      <w:pPr>
        <w:ind w:firstLine="480"/>
      </w:pPr>
      <w:r>
        <w:drawing>
          <wp:inline distT="0" distB="0" distL="114300" distR="114300">
            <wp:extent cx="5758815" cy="2049780"/>
            <wp:effectExtent l="0" t="0" r="6985" b="7620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029200" cy="2548255"/>
            <wp:effectExtent l="0" t="0" r="0" b="17145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8" w:name="_Toc46854663"/>
      <w:bookmarkStart w:id="39" w:name="_Toc748410434"/>
      <w:r>
        <w:rPr>
          <w:rFonts w:hint="eastAsia"/>
        </w:rPr>
        <w:t>缴费</w:t>
      </w:r>
      <w:bookmarkEnd w:id="38"/>
      <w:bookmarkEnd w:id="39"/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</w:rPr>
        <w:t>办公室审核通过后，会自动向用户发送缴费通知邮件，也可在订单详情中查看缴费金额。</w:t>
      </w:r>
      <w:r>
        <w:rPr>
          <w:rFonts w:hint="eastAsia"/>
          <w:lang w:val="en-US" w:eastAsia="zh-CN"/>
        </w:rPr>
        <w:t>如邮件未收到缴费通知单，可在订单处下载。</w:t>
      </w:r>
    </w:p>
    <w:p>
      <w:pPr>
        <w:ind w:firstLine="480"/>
      </w:pPr>
      <w:r>
        <w:drawing>
          <wp:inline distT="0" distB="0" distL="114300" distR="114300">
            <wp:extent cx="5755640" cy="2098040"/>
            <wp:effectExtent l="0" t="0" r="10160" b="10160"/>
            <wp:docPr id="8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0" w:name="_Toc722443759"/>
      <w:bookmarkStart w:id="41" w:name="_Toc46854664"/>
      <w:r>
        <w:rPr>
          <w:rFonts w:hint="eastAsia"/>
        </w:rPr>
        <w:t>权限开通</w:t>
      </w:r>
      <w:bookmarkEnd w:id="40"/>
      <w:bookmarkEnd w:id="41"/>
    </w:p>
    <w:p>
      <w:pPr>
        <w:ind w:firstLine="480"/>
      </w:pPr>
      <w:r>
        <w:rPr>
          <w:rFonts w:hint="eastAsia"/>
        </w:rPr>
        <w:t>协会收到缴费后会进行权限开通。开通后用户会收到相应通知邮件。</w:t>
      </w:r>
    </w:p>
    <w:p>
      <w:pPr>
        <w:ind w:firstLine="480"/>
      </w:pPr>
    </w:p>
    <w:p>
      <w:pPr>
        <w:pStyle w:val="3"/>
      </w:pPr>
      <w:bookmarkStart w:id="42" w:name="_Toc46854665"/>
      <w:bookmarkStart w:id="43" w:name="_Toc239717375"/>
      <w:r>
        <w:rPr>
          <w:rFonts w:hint="eastAsia"/>
        </w:rPr>
        <w:t>发票开具和发票邮寄</w:t>
      </w:r>
      <w:bookmarkEnd w:id="42"/>
      <w:bookmarkEnd w:id="43"/>
    </w:p>
    <w:p>
      <w:pPr>
        <w:ind w:firstLine="480"/>
      </w:pPr>
      <w:r>
        <w:rPr>
          <w:rFonts w:hint="eastAsia"/>
        </w:rPr>
        <w:t>协会根据缴费金额开具发票并进行发票寄送，用户可在订单详情中进行查看。</w:t>
      </w:r>
    </w:p>
    <w:p>
      <w:pPr>
        <w:ind w:firstLine="480"/>
      </w:pPr>
      <w:r>
        <w:drawing>
          <wp:inline distT="0" distB="0" distL="114300" distR="114300">
            <wp:extent cx="5753100" cy="1205230"/>
            <wp:effectExtent l="0" t="0" r="12700" b="13970"/>
            <wp:docPr id="9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5715000" cy="4196080"/>
            <wp:effectExtent l="0" t="0" r="0" b="20320"/>
            <wp:docPr id="9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4" w:name="_Toc46854666"/>
      <w:bookmarkStart w:id="45" w:name="_Toc250599853"/>
      <w:r>
        <w:rPr>
          <w:rFonts w:hint="eastAsia"/>
        </w:rPr>
        <w:t>图形化流程</w:t>
      </w:r>
      <w:bookmarkEnd w:id="44"/>
      <w:bookmarkEnd w:id="45"/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</w:rPr>
        <w:t>在综合管理平台首页，我们提供了</w:t>
      </w:r>
      <w:r>
        <w:rPr>
          <w:rFonts w:hint="eastAsia"/>
          <w:lang w:val="en-US" w:eastAsia="zh-CN"/>
        </w:rPr>
        <w:t>订单状态查询入口</w:t>
      </w:r>
      <w:r>
        <w:rPr>
          <w:rFonts w:hint="eastAsia"/>
        </w:rPr>
        <w:t>。可</w:t>
      </w:r>
      <w:r>
        <w:rPr>
          <w:rFonts w:hint="eastAsia"/>
          <w:lang w:val="en-US" w:eastAsia="zh-CN"/>
        </w:rPr>
        <w:t>进行</w:t>
      </w:r>
      <w:r>
        <w:rPr>
          <w:rFonts w:hint="eastAsia"/>
        </w:rPr>
        <w:t>过程跟踪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点击对应流程可直接跳转到管理页面。</w:t>
      </w:r>
    </w:p>
    <w:p>
      <w:pPr>
        <w:ind w:firstLine="480"/>
      </w:pPr>
      <w:r>
        <w:drawing>
          <wp:inline distT="0" distB="0" distL="114300" distR="114300">
            <wp:extent cx="4524375" cy="1757680"/>
            <wp:effectExtent l="0" t="0" r="22225" b="20320"/>
            <wp:docPr id="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248150" cy="1485900"/>
            <wp:effectExtent l="0" t="0" r="19050" b="12700"/>
            <wp:docPr id="1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pStyle w:val="2"/>
        <w:numPr>
          <w:ilvl w:val="0"/>
          <w:numId w:val="1"/>
        </w:numPr>
      </w:pPr>
      <w:bookmarkStart w:id="46" w:name="_Toc616297604"/>
      <w:bookmarkStart w:id="47" w:name="_Toc46854667"/>
      <w:r>
        <w:t>子账号管理</w:t>
      </w:r>
      <w:bookmarkEnd w:id="46"/>
      <w:bookmarkEnd w:id="47"/>
    </w:p>
    <w:p>
      <w:pPr>
        <w:ind w:firstLine="480"/>
      </w:pPr>
      <w:r>
        <w:rPr>
          <w:rFonts w:hint="eastAsia"/>
        </w:rPr>
        <w:t>部分企业有多账号的需求，系统支持企业主账号（进行续费或会员开通缴费的账号）创建子账号。</w:t>
      </w:r>
    </w:p>
    <w:p>
      <w:pPr>
        <w:pStyle w:val="3"/>
        <w:numPr>
          <w:ilvl w:val="1"/>
          <w:numId w:val="1"/>
        </w:numPr>
      </w:pPr>
      <w:bookmarkStart w:id="48" w:name="_Toc800200947"/>
      <w:bookmarkStart w:id="49" w:name="_Toc46854668"/>
      <w:r>
        <w:rPr>
          <w:rFonts w:hint="eastAsia"/>
        </w:rPr>
        <w:t>新增子账号</w:t>
      </w:r>
      <w:bookmarkEnd w:id="48"/>
      <w:bookmarkEnd w:id="49"/>
    </w:p>
    <w:p>
      <w:pPr>
        <w:ind w:firstLine="480"/>
      </w:pPr>
      <w:r>
        <w:rPr>
          <w:rFonts w:hint="eastAsia"/>
        </w:rPr>
        <w:t>点击左侧子账号管理菜单，点击新增按钮。</w:t>
      </w:r>
    </w:p>
    <w:p>
      <w:pPr>
        <w:ind w:firstLine="480"/>
      </w:pPr>
      <w:r>
        <w:drawing>
          <wp:inline distT="0" distB="0" distL="0" distR="0">
            <wp:extent cx="5486400" cy="12934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486400" cy="4869815"/>
            <wp:effectExtent l="0" t="0" r="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color w:val="FF0000"/>
        </w:rPr>
        <w:t>注意</w:t>
      </w:r>
      <w:r>
        <w:rPr>
          <w:rFonts w:hint="eastAsia"/>
        </w:rPr>
        <w:t>：如果给子账号IPR管理菜单的填报权限，需要先填写授权信息维护否则无法勾选，详细信息请跳转至10.2。</w:t>
      </w:r>
    </w:p>
    <w:p>
      <w:pPr>
        <w:pStyle w:val="3"/>
        <w:numPr>
          <w:ilvl w:val="1"/>
          <w:numId w:val="1"/>
        </w:numPr>
      </w:pPr>
      <w:bookmarkStart w:id="50" w:name="_Toc46854669"/>
      <w:bookmarkStart w:id="51" w:name="_Toc1434718715"/>
      <w:r>
        <w:t>维护子账号</w:t>
      </w:r>
      <w:bookmarkEnd w:id="50"/>
      <w:bookmarkEnd w:id="51"/>
    </w:p>
    <w:p>
      <w:pPr>
        <w:ind w:firstLine="480"/>
      </w:pPr>
      <w:r>
        <w:rPr>
          <w:rFonts w:hint="eastAsia"/>
        </w:rPr>
        <w:t>点击子账号管理，可见创建的所有子账号，可进行密码重置，信息修改，账号删除。</w:t>
      </w:r>
    </w:p>
    <w:p>
      <w:pPr>
        <w:ind w:firstLine="480"/>
      </w:pPr>
      <w:r>
        <w:drawing>
          <wp:inline distT="0" distB="0" distL="0" distR="0">
            <wp:extent cx="4159250" cy="9944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437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</w:p>
    <w:p>
      <w:pPr>
        <w:pStyle w:val="2"/>
      </w:pPr>
      <w:bookmarkStart w:id="52" w:name="_Toc46854670"/>
      <w:bookmarkStart w:id="53" w:name="_Toc1371054489"/>
      <w:r>
        <w:rPr>
          <w:rFonts w:hint="eastAsia"/>
        </w:rPr>
        <w:t>会议管理</w:t>
      </w:r>
      <w:bookmarkEnd w:id="52"/>
      <w:bookmarkEnd w:id="53"/>
    </w:p>
    <w:p>
      <w:pPr>
        <w:pStyle w:val="3"/>
      </w:pPr>
      <w:bookmarkStart w:id="54" w:name="_Toc46854671"/>
      <w:bookmarkStart w:id="55" w:name="_Toc813264313"/>
      <w:r>
        <w:rPr>
          <w:rFonts w:hint="eastAsia"/>
        </w:rPr>
        <w:t>用户中心登录</w:t>
      </w:r>
      <w:bookmarkEnd w:id="54"/>
      <w:bookmarkEnd w:id="55"/>
    </w:p>
    <w:p>
      <w:pPr>
        <w:ind w:firstLine="480"/>
      </w:pPr>
      <w:r>
        <w:rPr>
          <w:rFonts w:hint="eastAsia"/>
        </w:rPr>
        <w:t>直接登录到服务中心</w:t>
      </w:r>
      <w:r>
        <w:fldChar w:fldCharType="begin"/>
      </w:r>
      <w:r>
        <w:instrText xml:space="preserve"> HYPERLINK "https://www.ccsa.org.cn/webadmin/" \l "/login" </w:instrText>
      </w:r>
      <w:r>
        <w:fldChar w:fldCharType="separate"/>
      </w:r>
      <w:r>
        <w:rPr>
          <w:rStyle w:val="31"/>
        </w:rPr>
        <w:t>https://www.ccsa.org.cn/webadmin/#/login</w:t>
      </w:r>
      <w:r>
        <w:rPr>
          <w:rStyle w:val="31"/>
        </w:rPr>
        <w:fldChar w:fldCharType="end"/>
      </w:r>
      <w:r>
        <w:rPr>
          <w:rFonts w:hint="eastAsia"/>
        </w:rPr>
        <w:t>，</w:t>
      </w:r>
    </w:p>
    <w:p>
      <w:pPr>
        <w:ind w:firstLine="480"/>
      </w:pPr>
      <w:r>
        <w:rPr>
          <w:rFonts w:hint="eastAsia"/>
        </w:rPr>
        <w:t>也可从</w:t>
      </w:r>
      <w:r>
        <w:fldChar w:fldCharType="begin"/>
      </w:r>
      <w:r>
        <w:instrText xml:space="preserve"> HYPERLINK "https://www.ccsa.org.cn/" </w:instrText>
      </w:r>
      <w:r>
        <w:fldChar w:fldCharType="separate"/>
      </w:r>
      <w:r>
        <w:rPr>
          <w:rStyle w:val="31"/>
        </w:rPr>
        <w:t>https://www.ccsa.org.cn/</w:t>
      </w:r>
      <w:r>
        <w:rPr>
          <w:rStyle w:val="31"/>
        </w:rPr>
        <w:fldChar w:fldCharType="end"/>
      </w:r>
      <w:r>
        <w:rPr>
          <w:rFonts w:hint="eastAsia"/>
        </w:rPr>
        <w:t>中通过技术活动进入跳转。</w:t>
      </w:r>
    </w:p>
    <w:p>
      <w:pPr>
        <w:ind w:firstLine="480"/>
      </w:pPr>
      <w:r>
        <w:drawing>
          <wp:inline distT="0" distB="0" distL="0" distR="0">
            <wp:extent cx="5486400" cy="248348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486400" cy="14732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486400" cy="3899535"/>
            <wp:effectExtent l="0" t="0" r="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3"/>
      </w:pPr>
      <w:bookmarkStart w:id="56" w:name="_Toc46854672"/>
      <w:bookmarkStart w:id="57" w:name="_Toc1947379083"/>
      <w:r>
        <w:rPr>
          <w:rFonts w:hint="eastAsia"/>
        </w:rPr>
        <w:t>会议报名</w:t>
      </w:r>
      <w:bookmarkEnd w:id="56"/>
      <w:bookmarkEnd w:id="57"/>
    </w:p>
    <w:p>
      <w:pPr>
        <w:pStyle w:val="52"/>
        <w:ind w:firstLine="480"/>
      </w:pPr>
      <w:r>
        <w:rPr>
          <w:rFonts w:hint="eastAsia"/>
        </w:rPr>
        <w:t>点击会议管理-会议报名，可进行会议信息查看和会议报名。</w:t>
      </w:r>
    </w:p>
    <w:p>
      <w:pPr>
        <w:pStyle w:val="52"/>
        <w:ind w:firstLine="480"/>
      </w:pPr>
      <w:r>
        <w:rPr>
          <w:rFonts w:hint="eastAsia"/>
        </w:rPr>
        <w:t>在会议文件中可以提交不同的项目文稿。</w:t>
      </w:r>
    </w:p>
    <w:p>
      <w:pPr>
        <w:ind w:firstLine="480"/>
      </w:pPr>
      <w:r>
        <w:drawing>
          <wp:inline distT="0" distB="0" distL="0" distR="0">
            <wp:extent cx="5759450" cy="2602865"/>
            <wp:effectExtent l="19050" t="0" r="0" b="0"/>
            <wp:docPr id="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3"/>
      </w:pPr>
      <w:bookmarkStart w:id="58" w:name="_Toc46854673"/>
      <w:bookmarkStart w:id="59" w:name="_Toc1949467701"/>
      <w:r>
        <w:rPr>
          <w:rFonts w:hint="eastAsia"/>
        </w:rPr>
        <w:t>报名信息填报</w:t>
      </w:r>
      <w:bookmarkEnd w:id="58"/>
      <w:bookmarkEnd w:id="59"/>
    </w:p>
    <w:p>
      <w:pPr>
        <w:pStyle w:val="52"/>
        <w:ind w:firstLine="480"/>
        <w:rPr>
          <w:color w:val="FF0000"/>
        </w:rPr>
      </w:pPr>
      <w:r>
        <w:rPr>
          <w:rFonts w:hint="eastAsia"/>
          <w:color w:val="FF0000"/>
        </w:rPr>
        <w:t>注意：住宿登记截止日期一般早于报名截止日期，超过住宿登记截止日期则无法登记住宿。</w:t>
      </w:r>
    </w:p>
    <w:p>
      <w:pPr>
        <w:ind w:firstLine="480"/>
      </w:pPr>
      <w:r>
        <w:rPr>
          <w:rFonts w:hint="eastAsia"/>
        </w:rPr>
        <w:drawing>
          <wp:inline distT="0" distB="0" distL="0" distR="0">
            <wp:extent cx="5759450" cy="92011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274310" cy="37782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0" w:name="_Toc545648428"/>
      <w:bookmarkStart w:id="61" w:name="_Toc46854674"/>
      <w:r>
        <w:rPr>
          <w:rFonts w:hint="eastAsia"/>
        </w:rPr>
        <w:t>报名记录</w:t>
      </w:r>
      <w:bookmarkEnd w:id="60"/>
      <w:bookmarkEnd w:id="61"/>
    </w:p>
    <w:p>
      <w:pPr>
        <w:pStyle w:val="52"/>
        <w:ind w:firstLine="480"/>
      </w:pPr>
      <w:r>
        <w:rPr>
          <w:rFonts w:hint="eastAsia"/>
        </w:rPr>
        <w:t>报名记录显示会员单位针对会议的报名情况，同时在报名记录中会显示会议文件和文件打包下载按钮。</w:t>
      </w:r>
    </w:p>
    <w:p>
      <w:pPr>
        <w:ind w:firstLine="480"/>
      </w:pPr>
      <w:r>
        <w:drawing>
          <wp:inline distT="0" distB="0" distL="0" distR="0">
            <wp:extent cx="5759450" cy="2519045"/>
            <wp:effectExtent l="19050" t="0" r="0" b="0"/>
            <wp:docPr id="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1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2" w:name="_Toc46854675"/>
      <w:bookmarkStart w:id="63" w:name="_Toc957956706"/>
      <w:r>
        <w:rPr>
          <w:rFonts w:hint="eastAsia"/>
        </w:rPr>
        <w:t>历史会议</w:t>
      </w:r>
      <w:bookmarkEnd w:id="62"/>
      <w:r>
        <w:rPr>
          <w:rFonts w:hint="eastAsia"/>
        </w:rPr>
        <w:t>（主要是针对2020.6月以前的会议）</w:t>
      </w:r>
      <w:bookmarkEnd w:id="63"/>
    </w:p>
    <w:p>
      <w:pPr>
        <w:pStyle w:val="52"/>
        <w:ind w:firstLine="480"/>
      </w:pPr>
      <w:r>
        <w:rPr>
          <w:rFonts w:hint="eastAsia"/>
        </w:rPr>
        <w:t>对于2020年6月之前已结束的会议会显示在历史会议页面，会员单位可通过多种条件查询，并且可下载会议的文稿。</w:t>
      </w:r>
    </w:p>
    <w:p>
      <w:pPr>
        <w:ind w:firstLine="480"/>
      </w:pPr>
      <w:r>
        <w:drawing>
          <wp:inline distT="0" distB="0" distL="0" distR="0">
            <wp:extent cx="5759450" cy="2497455"/>
            <wp:effectExtent l="19050" t="0" r="0" b="0"/>
            <wp:docPr id="7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PS：由于系统割接，系统会议记录目前仅可通过历史会议界面查询和下载文稿</w:t>
      </w:r>
    </w:p>
    <w:p>
      <w:pPr>
        <w:pStyle w:val="2"/>
      </w:pPr>
      <w:bookmarkStart w:id="64" w:name="_Toc693456183"/>
      <w:bookmarkStart w:id="65" w:name="_Toc46854676"/>
      <w:r>
        <w:rPr>
          <w:rFonts w:hint="eastAsia"/>
        </w:rPr>
        <w:t>标准项目工作站</w:t>
      </w:r>
      <w:bookmarkEnd w:id="64"/>
      <w:bookmarkEnd w:id="65"/>
    </w:p>
    <w:p>
      <w:pPr>
        <w:pStyle w:val="3"/>
      </w:pPr>
      <w:bookmarkStart w:id="66" w:name="_Toc524315412"/>
      <w:bookmarkStart w:id="67" w:name="_Toc46854677"/>
      <w:r>
        <w:rPr>
          <w:rFonts w:hint="eastAsia"/>
        </w:rPr>
        <w:t>用户中心登录</w:t>
      </w:r>
      <w:bookmarkEnd w:id="66"/>
      <w:bookmarkEnd w:id="67"/>
    </w:p>
    <w:p>
      <w:pPr>
        <w:ind w:firstLine="480"/>
      </w:pPr>
      <w:r>
        <w:rPr>
          <w:rFonts w:hint="eastAsia"/>
        </w:rPr>
        <w:t>直接登录到服务中心</w:t>
      </w:r>
      <w:r>
        <w:fldChar w:fldCharType="begin"/>
      </w:r>
      <w:r>
        <w:instrText xml:space="preserve"> HYPERLINK "https://www.ccsa.org.cn/webadmin/" \l "/login" </w:instrText>
      </w:r>
      <w:r>
        <w:fldChar w:fldCharType="separate"/>
      </w:r>
      <w:r>
        <w:rPr>
          <w:rStyle w:val="31"/>
        </w:rPr>
        <w:t>https://www.ccsa.org.cn/webadmin/#/login</w:t>
      </w:r>
      <w:r>
        <w:rPr>
          <w:rStyle w:val="31"/>
        </w:rPr>
        <w:fldChar w:fldCharType="end"/>
      </w:r>
      <w:r>
        <w:rPr>
          <w:rFonts w:hint="eastAsia"/>
        </w:rPr>
        <w:t>，</w:t>
      </w:r>
    </w:p>
    <w:p>
      <w:pPr>
        <w:ind w:firstLine="480"/>
      </w:pPr>
      <w:r>
        <w:rPr>
          <w:rFonts w:hint="eastAsia"/>
        </w:rPr>
        <w:t>也可从</w:t>
      </w:r>
      <w:r>
        <w:fldChar w:fldCharType="begin"/>
      </w:r>
      <w:r>
        <w:instrText xml:space="preserve"> HYPERLINK "https://www.ccsa.org.cn/" </w:instrText>
      </w:r>
      <w:r>
        <w:fldChar w:fldCharType="separate"/>
      </w:r>
      <w:r>
        <w:rPr>
          <w:rStyle w:val="31"/>
        </w:rPr>
        <w:t>https://www.ccsa.org.cn/</w:t>
      </w:r>
      <w:r>
        <w:rPr>
          <w:rStyle w:val="31"/>
        </w:rPr>
        <w:fldChar w:fldCharType="end"/>
      </w:r>
      <w:r>
        <w:rPr>
          <w:rFonts w:hint="eastAsia"/>
        </w:rPr>
        <w:t>中通过服务中心跳转。</w:t>
      </w:r>
    </w:p>
    <w:p>
      <w:pPr>
        <w:ind w:firstLine="480"/>
      </w:pPr>
    </w:p>
    <w:p>
      <w:pPr>
        <w:ind w:firstLine="480"/>
      </w:pPr>
    </w:p>
    <w:p>
      <w:pPr>
        <w:pStyle w:val="3"/>
      </w:pPr>
      <w:bookmarkStart w:id="68" w:name="_Toc46854678"/>
      <w:bookmarkStart w:id="69" w:name="_Toc1043725843"/>
      <w:r>
        <w:rPr>
          <w:rFonts w:hint="eastAsia"/>
        </w:rPr>
        <w:t>标准项目工作站</w:t>
      </w:r>
      <w:bookmarkEnd w:id="68"/>
      <w:bookmarkEnd w:id="69"/>
    </w:p>
    <w:p>
      <w:pPr>
        <w:pStyle w:val="52"/>
        <w:ind w:firstLine="480"/>
      </w:pPr>
      <w:r>
        <w:rPr>
          <w:rFonts w:hint="eastAsia"/>
        </w:rPr>
        <w:t>点击标准项目工作站菜单，进入标准制修订模块。</w:t>
      </w:r>
    </w:p>
    <w:p>
      <w:pPr>
        <w:ind w:firstLine="199" w:firstLineChars="83"/>
      </w:pPr>
      <w:r>
        <w:drawing>
          <wp:inline distT="0" distB="0" distL="0" distR="0">
            <wp:extent cx="2477135" cy="6127750"/>
            <wp:effectExtent l="19050" t="0" r="0" b="0"/>
            <wp:docPr id="7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612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0" w:name="_Toc46854679"/>
      <w:bookmarkStart w:id="71" w:name="_Toc1253814605"/>
      <w:r>
        <w:rPr>
          <w:rFonts w:hint="eastAsia"/>
        </w:rPr>
        <w:t>标准项目工作站-</w:t>
      </w:r>
      <w:bookmarkEnd w:id="70"/>
      <w:r>
        <w:rPr>
          <w:rFonts w:hint="eastAsia"/>
        </w:rPr>
        <w:t>我提交的项目申请</w:t>
      </w:r>
      <w:bookmarkEnd w:id="71"/>
    </w:p>
    <w:p>
      <w:pPr>
        <w:pStyle w:val="4"/>
      </w:pPr>
      <w:bookmarkStart w:id="72" w:name="_Toc1752521871"/>
      <w:bookmarkStart w:id="73" w:name="_Toc46854680"/>
      <w:r>
        <w:rPr>
          <w:rFonts w:hint="eastAsia"/>
        </w:rPr>
        <w:t>立项建议提交</w:t>
      </w:r>
      <w:bookmarkEnd w:id="72"/>
      <w:bookmarkEnd w:id="73"/>
    </w:p>
    <w:p>
      <w:pPr>
        <w:pStyle w:val="52"/>
        <w:ind w:firstLine="480"/>
      </w:pPr>
      <w:r>
        <w:rPr>
          <w:rFonts w:hint="eastAsia"/>
        </w:rPr>
        <w:t>（1）点击“标准项目工作站</w:t>
      </w:r>
      <w:r>
        <w:t>—</w:t>
      </w:r>
      <w:r>
        <w:rPr>
          <w:rFonts w:hint="eastAsia"/>
        </w:rPr>
        <w:t>我提交的项目申请”菜单。</w:t>
      </w:r>
    </w:p>
    <w:p>
      <w:pPr>
        <w:pStyle w:val="52"/>
        <w:ind w:firstLine="480"/>
      </w:pPr>
      <w:r>
        <w:rPr>
          <w:rFonts w:hint="eastAsia"/>
        </w:rPr>
        <w:t>（2）点击提交项目申请，可选择不同的项目类型。</w:t>
      </w:r>
    </w:p>
    <w:p>
      <w:pPr>
        <w:pStyle w:val="52"/>
        <w:ind w:firstLine="480"/>
      </w:pPr>
      <w:r>
        <w:drawing>
          <wp:inline distT="0" distB="0" distL="0" distR="0">
            <wp:extent cx="5759450" cy="2498090"/>
            <wp:effectExtent l="19050" t="0" r="0" b="0"/>
            <wp:docPr id="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2"/>
        <w:ind w:firstLine="480"/>
      </w:pPr>
      <w:r>
        <w:rPr>
          <w:rFonts w:hint="eastAsia"/>
        </w:rPr>
        <w:t>（3）填写完成后需要进行保存或者直接提交。</w:t>
      </w:r>
    </w:p>
    <w:p>
      <w:pPr>
        <w:ind w:firstLine="480"/>
      </w:pPr>
      <w:r>
        <w:drawing>
          <wp:inline distT="0" distB="0" distL="0" distR="0">
            <wp:extent cx="5759450" cy="1702435"/>
            <wp:effectExtent l="19050" t="0" r="0" b="0"/>
            <wp:docPr id="7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0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选择保存则可以修改后再进行进行提交</w:t>
      </w:r>
    </w:p>
    <w:p>
      <w:pPr>
        <w:ind w:firstLine="480"/>
      </w:pPr>
      <w:r>
        <w:drawing>
          <wp:inline distT="0" distB="0" distL="0" distR="0">
            <wp:extent cx="5759450" cy="1690370"/>
            <wp:effectExtent l="19050" t="0" r="0" b="0"/>
            <wp:docPr id="8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9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4" w:name="_Toc46854681"/>
      <w:bookmarkStart w:id="75" w:name="_Toc1896867292"/>
      <w:r>
        <w:rPr>
          <w:rFonts w:hint="eastAsia"/>
        </w:rPr>
        <w:t>立项建议被退回</w:t>
      </w:r>
      <w:bookmarkEnd w:id="74"/>
      <w:bookmarkEnd w:id="75"/>
    </w:p>
    <w:p>
      <w:pPr>
        <w:pStyle w:val="52"/>
        <w:ind w:firstLine="480"/>
      </w:pPr>
      <w:r>
        <w:rPr>
          <w:rFonts w:hint="eastAsia"/>
        </w:rPr>
        <w:t>立项建议在秘书处审核和WG讨论以及TC讨论时可能会被退回，退回后，需要修改后再次上次立项建议书。</w:t>
      </w:r>
    </w:p>
    <w:p>
      <w:pPr>
        <w:pStyle w:val="4"/>
      </w:pPr>
      <w:bookmarkStart w:id="76" w:name="_Toc1253836929"/>
      <w:bookmarkStart w:id="77" w:name="_Toc46854682"/>
      <w:r>
        <w:rPr>
          <w:rFonts w:hint="eastAsia"/>
        </w:rPr>
        <w:t>上传立项建议书盖章扫描件</w:t>
      </w:r>
      <w:bookmarkEnd w:id="76"/>
      <w:bookmarkEnd w:id="77"/>
    </w:p>
    <w:p>
      <w:pPr>
        <w:pStyle w:val="52"/>
        <w:ind w:firstLine="480"/>
      </w:pPr>
      <w:r>
        <w:rPr>
          <w:rFonts w:hint="eastAsia"/>
        </w:rPr>
        <w:t>在TC讨论通过后，用户可上传正式的立项建议书（盖章扫描件）。如为国标需要同时上传草案或草案和研究报告。</w:t>
      </w:r>
    </w:p>
    <w:p>
      <w:pPr>
        <w:pStyle w:val="52"/>
        <w:ind w:firstLine="480"/>
      </w:pPr>
    </w:p>
    <w:p>
      <w:pPr>
        <w:pStyle w:val="4"/>
      </w:pPr>
      <w:bookmarkStart w:id="78" w:name="_Toc2127721339"/>
      <w:r>
        <w:rPr>
          <w:rFonts w:hint="eastAsia"/>
        </w:rPr>
        <w:t>立项阶段说明</w:t>
      </w:r>
      <w:bookmarkEnd w:id="78"/>
    </w:p>
    <w:p>
      <w:pPr>
        <w:ind w:firstLine="480"/>
      </w:pPr>
      <w:r>
        <w:rPr>
          <w:rFonts w:hint="eastAsia"/>
        </w:rPr>
        <w:t>在提交和查询项目申请的阶段说明中可以查看</w:t>
      </w:r>
    </w:p>
    <w:p>
      <w:pPr>
        <w:ind w:firstLine="480"/>
      </w:pPr>
      <w:r>
        <w:drawing>
          <wp:inline distT="0" distB="0" distL="0" distR="0">
            <wp:extent cx="5759450" cy="1833880"/>
            <wp:effectExtent l="19050" t="0" r="0" b="0"/>
            <wp:docPr id="8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3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759450" cy="3268345"/>
            <wp:effectExtent l="19050" t="0" r="0" b="0"/>
            <wp:docPr id="8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</w:p>
    <w:p>
      <w:pPr>
        <w:pStyle w:val="3"/>
      </w:pPr>
      <w:bookmarkStart w:id="79" w:name="_Toc46854683"/>
      <w:bookmarkStart w:id="80" w:name="_Toc714854729"/>
      <w:r>
        <w:t>标准</w:t>
      </w:r>
      <w:r>
        <w:rPr>
          <w:rFonts w:hint="eastAsia"/>
        </w:rPr>
        <w:t>项目</w:t>
      </w:r>
      <w:r>
        <w:t>工作站-提交</w:t>
      </w:r>
      <w:bookmarkEnd w:id="79"/>
      <w:r>
        <w:rPr>
          <w:rFonts w:hint="eastAsia"/>
        </w:rPr>
        <w:t>和查询</w:t>
      </w:r>
      <w:r>
        <w:t>项目文稿</w:t>
      </w:r>
      <w:bookmarkEnd w:id="80"/>
    </w:p>
    <w:p>
      <w:pPr>
        <w:ind w:firstLine="480"/>
      </w:pPr>
      <w:r>
        <w:rPr>
          <w:rFonts w:hint="eastAsia"/>
        </w:rPr>
        <w:t>点击</w:t>
      </w:r>
      <w:bookmarkStart w:id="81" w:name="_Hlk46764202"/>
      <w:r>
        <w:rPr>
          <w:rFonts w:hint="eastAsia"/>
        </w:rPr>
        <w:t>“标准项目工作站</w:t>
      </w:r>
      <w:r>
        <w:t>—提交项目文稿</w:t>
      </w:r>
      <w:r>
        <w:rPr>
          <w:rFonts w:hint="eastAsia"/>
        </w:rPr>
        <w:t>”</w:t>
      </w:r>
      <w:bookmarkEnd w:id="81"/>
      <w:r>
        <w:rPr>
          <w:rFonts w:hint="eastAsia"/>
        </w:rPr>
        <w:t>菜单。</w:t>
      </w:r>
    </w:p>
    <w:p>
      <w:pPr>
        <w:ind w:firstLine="480"/>
      </w:pPr>
      <w:r>
        <w:drawing>
          <wp:inline distT="0" distB="0" distL="0" distR="0">
            <wp:extent cx="5759450" cy="2594610"/>
            <wp:effectExtent l="19050" t="0" r="0" b="0"/>
            <wp:docPr id="8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注意1：该项目主要是针对联席会审通过的，未进行联席会审或联席会审未通过的则不会在该页面显示。</w:t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注意2：显示的项目，本单位必须是牵头单位，且本单位具有该项目所在TCWG工作组的权限。</w:t>
      </w:r>
    </w:p>
    <w:p>
      <w:pPr>
        <w:pStyle w:val="4"/>
      </w:pPr>
      <w:bookmarkStart w:id="82" w:name="_Toc1539908985"/>
      <w:bookmarkStart w:id="83" w:name="_Toc46854684"/>
      <w:r>
        <w:t>标准草案征求意见稿上传</w:t>
      </w:r>
      <w:bookmarkEnd w:id="82"/>
      <w:bookmarkEnd w:id="83"/>
    </w:p>
    <w:p>
      <w:pPr>
        <w:pStyle w:val="52"/>
        <w:numPr>
          <w:ilvl w:val="0"/>
          <w:numId w:val="2"/>
        </w:numPr>
        <w:ind w:left="0" w:firstLine="480"/>
      </w:pPr>
      <w:bookmarkStart w:id="84" w:name="_Hlk46763795"/>
      <w:r>
        <w:rPr>
          <w:rFonts w:hint="eastAsia"/>
        </w:rPr>
        <w:t>在项目联席会审通过后项目阶段会显示“</w:t>
      </w:r>
      <w:r>
        <w:t>20.00 -待草案上传</w:t>
      </w:r>
      <w:r>
        <w:rPr>
          <w:rFonts w:hint="eastAsia"/>
        </w:rPr>
        <w:t>”，点击上传文稿，上传“标准草案征求意见稿”</w:t>
      </w:r>
      <w:bookmarkEnd w:id="84"/>
      <w:r>
        <w:rPr>
          <w:rFonts w:hint="eastAsia"/>
        </w:rPr>
        <w:t>；</w:t>
      </w:r>
    </w:p>
    <w:p>
      <w:pPr>
        <w:ind w:firstLine="480"/>
      </w:pPr>
      <w:r>
        <w:drawing>
          <wp:inline distT="0" distB="0" distL="0" distR="0">
            <wp:extent cx="5759450" cy="2023110"/>
            <wp:effectExtent l="19050" t="0" r="0" b="0"/>
            <wp:docPr id="8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2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点击“上传文稿”按钮后显示上传项目文稿界面。</w:t>
      </w:r>
    </w:p>
    <w:p>
      <w:pPr>
        <w:ind w:firstLine="480"/>
      </w:pPr>
      <w:r>
        <w:drawing>
          <wp:inline distT="0" distB="0" distL="0" distR="0">
            <wp:extent cx="3575050" cy="1536065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514" cy="153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2"/>
        </w:numPr>
        <w:ind w:left="0" w:firstLine="480"/>
      </w:pPr>
      <w:bookmarkStart w:id="85" w:name="_Hlk46764253"/>
      <w:r>
        <w:rPr>
          <w:rFonts w:hint="eastAsia"/>
        </w:rPr>
        <w:t>上传文稿后项目阶段变化为“</w:t>
      </w:r>
      <w:r>
        <w:t>30.00 -标准草案征求意见稿上传</w:t>
      </w:r>
      <w:r>
        <w:rPr>
          <w:rFonts w:hint="eastAsia"/>
        </w:rPr>
        <w:t>”</w:t>
      </w:r>
      <w:bookmarkEnd w:id="85"/>
      <w:r>
        <w:rPr>
          <w:rFonts w:hint="eastAsia"/>
        </w:rPr>
        <w:t>。</w:t>
      </w:r>
    </w:p>
    <w:p>
      <w:pPr>
        <w:ind w:firstLine="480"/>
      </w:pPr>
      <w:r>
        <w:drawing>
          <wp:inline distT="0" distB="0" distL="0" distR="0">
            <wp:extent cx="5759450" cy="1991360"/>
            <wp:effectExtent l="19050" t="0" r="0" b="0"/>
            <wp:docPr id="8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2"/>
        </w:numPr>
        <w:ind w:left="0" w:firstLine="480"/>
      </w:pPr>
      <w:bookmarkStart w:id="86" w:name="_Hlk46764335"/>
      <w:r>
        <w:rPr>
          <w:rFonts w:hint="eastAsia"/>
        </w:rPr>
        <w:t>在文稿关联会议前可进行文稿更新。</w:t>
      </w:r>
    </w:p>
    <w:p>
      <w:pPr>
        <w:pStyle w:val="52"/>
        <w:numPr>
          <w:ilvl w:val="0"/>
          <w:numId w:val="2"/>
        </w:numPr>
        <w:ind w:left="0" w:firstLine="480"/>
      </w:pPr>
      <w:r>
        <w:rPr>
          <w:rFonts w:hint="eastAsia"/>
        </w:rPr>
        <w:t>意见稿关联会议后，项目阶段转变为“</w:t>
      </w:r>
      <w:r>
        <w:t>30.20 -标准草案征求意稿关联会议</w:t>
      </w:r>
      <w:r>
        <w:rPr>
          <w:rFonts w:hint="eastAsia"/>
        </w:rPr>
        <w:t>”。</w:t>
      </w:r>
    </w:p>
    <w:p>
      <w:pPr>
        <w:pStyle w:val="52"/>
        <w:numPr>
          <w:ilvl w:val="0"/>
          <w:numId w:val="2"/>
        </w:numPr>
        <w:ind w:left="0" w:firstLine="480"/>
      </w:pPr>
      <w:r>
        <w:rPr>
          <w:rFonts w:hint="eastAsia"/>
        </w:rPr>
        <w:t>如果在TC会审时不通过，项目阶段则会变为“</w:t>
      </w:r>
      <w:r>
        <w:t>30.92 -标准草案征求意见稿被退回</w:t>
      </w:r>
      <w:r>
        <w:rPr>
          <w:rFonts w:hint="eastAsia"/>
        </w:rPr>
        <w:t>”，用户可重新上传文稿。</w:t>
      </w:r>
    </w:p>
    <w:p>
      <w:pPr>
        <w:pStyle w:val="52"/>
        <w:numPr>
          <w:ilvl w:val="0"/>
          <w:numId w:val="2"/>
        </w:numPr>
        <w:ind w:left="0" w:firstLine="480"/>
      </w:pPr>
      <w:r>
        <w:rPr>
          <w:rFonts w:hint="eastAsia"/>
        </w:rPr>
        <w:t>用户重新上传文稿后，项目阶段则会变为“30.93-</w:t>
      </w:r>
      <w:r>
        <w:t>标准草案征求意见稿重新上传</w:t>
      </w:r>
      <w:r>
        <w:rPr>
          <w:rFonts w:hint="eastAsia"/>
        </w:rPr>
        <w:t>”。</w:t>
      </w:r>
    </w:p>
    <w:bookmarkEnd w:id="86"/>
    <w:p>
      <w:pPr>
        <w:pStyle w:val="4"/>
      </w:pPr>
      <w:bookmarkStart w:id="87" w:name="_Toc46854685"/>
      <w:bookmarkStart w:id="88" w:name="_Toc1924880898"/>
      <w:bookmarkStart w:id="89" w:name="_Hlk46764915"/>
      <w:r>
        <w:t>标准草案送审稿上传</w:t>
      </w:r>
      <w:bookmarkEnd w:id="87"/>
      <w:bookmarkEnd w:id="88"/>
    </w:p>
    <w:bookmarkEnd w:id="89"/>
    <w:p>
      <w:pPr>
        <w:pStyle w:val="52"/>
        <w:numPr>
          <w:ilvl w:val="0"/>
          <w:numId w:val="3"/>
        </w:numPr>
        <w:ind w:firstLineChars="0"/>
      </w:pPr>
      <w:bookmarkStart w:id="90" w:name="_Hlk46764994"/>
      <w:r>
        <w:rPr>
          <w:rFonts w:hint="eastAsia"/>
        </w:rPr>
        <w:t>如果TC会审通过，项目阶段则会变为“30.99 -通过标准草案征求意见稿”</w:t>
      </w:r>
    </w:p>
    <w:p>
      <w:pPr>
        <w:pStyle w:val="52"/>
        <w:numPr>
          <w:ilvl w:val="0"/>
          <w:numId w:val="3"/>
        </w:numPr>
        <w:ind w:firstLineChars="0"/>
      </w:pPr>
      <w:r>
        <w:rPr>
          <w:rFonts w:hint="eastAsia"/>
        </w:rPr>
        <w:t>此时用户可点击“上传文稿”，上传“标准草案送审稿”。</w:t>
      </w:r>
    </w:p>
    <w:bookmarkEnd w:id="90"/>
    <w:p>
      <w:pPr>
        <w:ind w:firstLine="480"/>
      </w:pPr>
      <w:r>
        <w:drawing>
          <wp:inline distT="0" distB="0" distL="0" distR="0">
            <wp:extent cx="5759450" cy="1988820"/>
            <wp:effectExtent l="19050" t="0" r="0" b="0"/>
            <wp:docPr id="8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3"/>
        </w:numPr>
        <w:ind w:firstLineChars="0"/>
      </w:pPr>
      <w:bookmarkStart w:id="91" w:name="_Hlk46765054"/>
      <w:r>
        <w:rPr>
          <w:rFonts w:hint="eastAsia"/>
        </w:rPr>
        <w:t>上传文稿后项目阶段变化为“4</w:t>
      </w:r>
      <w:r>
        <w:t>0.00 -标准草案送审稿上传</w:t>
      </w:r>
      <w:r>
        <w:rPr>
          <w:rFonts w:hint="eastAsia"/>
        </w:rPr>
        <w:t>”。</w:t>
      </w:r>
    </w:p>
    <w:p>
      <w:pPr>
        <w:pStyle w:val="52"/>
        <w:numPr>
          <w:ilvl w:val="0"/>
          <w:numId w:val="3"/>
        </w:numPr>
        <w:ind w:firstLineChars="0"/>
      </w:pPr>
      <w:r>
        <w:rPr>
          <w:rFonts w:hint="eastAsia"/>
        </w:rPr>
        <w:t>在文稿关联会议前可进行文稿更新。</w:t>
      </w:r>
    </w:p>
    <w:p>
      <w:pPr>
        <w:pStyle w:val="52"/>
        <w:numPr>
          <w:ilvl w:val="0"/>
          <w:numId w:val="3"/>
        </w:numPr>
        <w:ind w:firstLineChars="0"/>
      </w:pPr>
      <w:r>
        <w:rPr>
          <w:rFonts w:hint="eastAsia"/>
        </w:rPr>
        <w:t>送审稿关联会议后，项目阶段转变为“4</w:t>
      </w:r>
      <w:r>
        <w:t>0.20 -标准草案</w:t>
      </w:r>
      <w:r>
        <w:rPr>
          <w:rFonts w:hint="eastAsia"/>
        </w:rPr>
        <w:t>送审关联会议”。</w:t>
      </w:r>
    </w:p>
    <w:p>
      <w:pPr>
        <w:pStyle w:val="52"/>
        <w:numPr>
          <w:ilvl w:val="0"/>
          <w:numId w:val="3"/>
        </w:numPr>
        <w:ind w:firstLineChars="0"/>
      </w:pPr>
      <w:r>
        <w:rPr>
          <w:rFonts w:hint="eastAsia"/>
        </w:rPr>
        <w:t>如果在TC会审时不通过，项目阶段则会变为“4</w:t>
      </w:r>
      <w:r>
        <w:t>0.92 -标准草案</w:t>
      </w:r>
      <w:r>
        <w:rPr>
          <w:rFonts w:hint="eastAsia"/>
        </w:rPr>
        <w:t>送审稿</w:t>
      </w:r>
      <w:r>
        <w:t>被退回</w:t>
      </w:r>
      <w:r>
        <w:rPr>
          <w:rFonts w:hint="eastAsia"/>
        </w:rPr>
        <w:t>”，用户可重新上传文稿。</w:t>
      </w:r>
    </w:p>
    <w:p>
      <w:pPr>
        <w:pStyle w:val="52"/>
        <w:numPr>
          <w:ilvl w:val="0"/>
          <w:numId w:val="3"/>
        </w:numPr>
        <w:ind w:firstLineChars="0"/>
      </w:pPr>
      <w:r>
        <w:rPr>
          <w:rFonts w:hint="eastAsia"/>
        </w:rPr>
        <w:t>用户重新上传文稿后，项目阶段则会变为“40.93-</w:t>
      </w:r>
      <w:r>
        <w:t>标准草案</w:t>
      </w:r>
      <w:r>
        <w:rPr>
          <w:rFonts w:hint="eastAsia"/>
        </w:rPr>
        <w:t>送审</w:t>
      </w:r>
      <w:r>
        <w:t>稿重新上传</w:t>
      </w:r>
      <w:r>
        <w:rPr>
          <w:rFonts w:hint="eastAsia"/>
        </w:rPr>
        <w:t>”。</w:t>
      </w:r>
    </w:p>
    <w:bookmarkEnd w:id="91"/>
    <w:p>
      <w:pPr>
        <w:ind w:firstLine="480"/>
      </w:pPr>
    </w:p>
    <w:p>
      <w:pPr>
        <w:pStyle w:val="3"/>
      </w:pPr>
      <w:bookmarkStart w:id="92" w:name="_Toc1779594278"/>
      <w:r>
        <w:t>标准</w:t>
      </w:r>
      <w:r>
        <w:rPr>
          <w:rFonts w:hint="eastAsia"/>
        </w:rPr>
        <w:t>项目</w:t>
      </w:r>
      <w:r>
        <w:t>工作站-</w:t>
      </w:r>
      <w:r>
        <w:rPr>
          <w:rFonts w:hint="eastAsia"/>
        </w:rPr>
        <w:t>提交报批稿材料</w:t>
      </w:r>
      <w:bookmarkEnd w:id="92"/>
    </w:p>
    <w:p>
      <w:pPr>
        <w:pStyle w:val="52"/>
        <w:numPr>
          <w:ilvl w:val="0"/>
          <w:numId w:val="4"/>
        </w:numPr>
        <w:ind w:firstLineChars="0"/>
      </w:pPr>
      <w:bookmarkStart w:id="93" w:name="_Hlk46765359"/>
      <w:r>
        <w:rPr>
          <w:rFonts w:hint="eastAsia"/>
        </w:rPr>
        <w:t>如果TC会审通过，项目阶段则会变为“40.99 -通过标准草案送审稿”</w:t>
      </w:r>
    </w:p>
    <w:p>
      <w:pPr>
        <w:ind w:left="567" w:firstLine="0" w:firstLineChars="0"/>
      </w:pPr>
      <w:r>
        <w:t>此时用户</w:t>
      </w:r>
      <w:r>
        <w:rPr>
          <w:rFonts w:hint="eastAsia"/>
        </w:rPr>
        <w:t>可点击菜单“标准项目工作站”-“提交报批稿材料”，点击“上传文稿”按钮，进行填报报批稿。</w:t>
      </w:r>
      <w:r>
        <w:t xml:space="preserve"> </w:t>
      </w:r>
    </w:p>
    <w:p>
      <w:pPr>
        <w:ind w:firstLine="480"/>
      </w:pPr>
      <w:r>
        <w:drawing>
          <wp:inline distT="0" distB="0" distL="0" distR="0">
            <wp:extent cx="5759450" cy="18332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4"/>
        </w:numPr>
        <w:ind w:firstLineChars="0"/>
      </w:pPr>
      <w:r>
        <w:rPr>
          <w:rFonts w:hint="eastAsia"/>
        </w:rPr>
        <w:t>不同项目类型的报批稿填报内容不同，可根据页面显示进行填报，部分填报内容如下图：</w:t>
      </w:r>
    </w:p>
    <w:p>
      <w:pPr>
        <w:ind w:firstLineChars="0"/>
      </w:pPr>
      <w:r>
        <w:rPr>
          <w:rFonts w:hint="eastAsia"/>
        </w:rPr>
        <w:t>推荐国标，强制国标部分填写内容如下:</w:t>
      </w:r>
    </w:p>
    <w:p>
      <w:pPr>
        <w:ind w:firstLineChars="0"/>
      </w:pPr>
      <w:r>
        <w:drawing>
          <wp:inline distT="0" distB="0" distL="0" distR="0">
            <wp:extent cx="5759450" cy="29927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2"/>
        <w:ind w:left="326" w:leftChars="136" w:firstLine="0" w:firstLineChars="0"/>
      </w:pPr>
    </w:p>
    <w:p>
      <w:pPr>
        <w:pStyle w:val="52"/>
        <w:ind w:left="326" w:leftChars="136" w:firstLine="0" w:firstLineChars="0"/>
      </w:pPr>
    </w:p>
    <w:p>
      <w:pPr>
        <w:pStyle w:val="52"/>
        <w:ind w:left="326" w:leftChars="136" w:firstLine="0" w:firstLineChars="0"/>
      </w:pPr>
    </w:p>
    <w:p>
      <w:pPr>
        <w:pStyle w:val="52"/>
        <w:ind w:left="326" w:leftChars="136" w:firstLine="0" w:firstLineChars="0"/>
      </w:pPr>
    </w:p>
    <w:p>
      <w:pPr>
        <w:pStyle w:val="52"/>
        <w:ind w:left="326" w:leftChars="136" w:firstLine="0" w:firstLineChars="0"/>
      </w:pPr>
      <w:r>
        <w:rPr>
          <w:rFonts w:hint="eastAsia"/>
        </w:rPr>
        <w:t>行业标准部分填写内容如下：</w:t>
      </w:r>
    </w:p>
    <w:p>
      <w:pPr>
        <w:pStyle w:val="52"/>
        <w:ind w:left="326" w:leftChars="136" w:firstLine="0" w:firstLineChars="0"/>
      </w:pPr>
      <w:r>
        <w:drawing>
          <wp:inline distT="0" distB="0" distL="0" distR="0">
            <wp:extent cx="5759450" cy="3502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2"/>
        <w:ind w:left="326" w:leftChars="136" w:firstLine="0" w:firstLineChars="0"/>
      </w:pPr>
      <w:r>
        <w:rPr>
          <w:rFonts w:hint="eastAsia"/>
        </w:rPr>
        <w:t>协会标准需要填写国民经济分类号，点击输入框选择即可，如下图：</w:t>
      </w:r>
    </w:p>
    <w:p>
      <w:pPr>
        <w:pStyle w:val="52"/>
        <w:ind w:left="240" w:leftChars="100" w:firstLine="0" w:firstLineChars="0"/>
      </w:pPr>
      <w:r>
        <w:drawing>
          <wp:inline distT="0" distB="0" distL="0" distR="0">
            <wp:extent cx="5759450" cy="122999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2"/>
        <w:ind w:left="240" w:leftChars="100" w:firstLine="0" w:firstLineChars="0"/>
      </w:pPr>
      <w:r>
        <w:rPr>
          <w:rFonts w:hint="eastAsia"/>
        </w:rPr>
        <w:t>研究课题部分填报内容如下，请按照实际情况选择评审方式，是否印发：</w:t>
      </w:r>
    </w:p>
    <w:p>
      <w:pPr>
        <w:pStyle w:val="52"/>
        <w:ind w:left="240" w:leftChars="100" w:firstLine="0" w:firstLineChars="0"/>
      </w:pPr>
      <w:r>
        <w:drawing>
          <wp:inline distT="0" distB="0" distL="0" distR="0">
            <wp:extent cx="5304790" cy="29946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11668" cy="299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2"/>
        <w:ind w:left="720" w:firstLine="0" w:firstLineChars="0"/>
        <w:rPr>
          <w:color w:val="FF0000"/>
        </w:rPr>
      </w:pPr>
      <w:r>
        <w:rPr>
          <w:rFonts w:hint="eastAsia"/>
          <w:color w:val="FF0000"/>
        </w:rPr>
        <w:t>PS：有部分报批稿信息在老系统填写过（状态为“待上传扫描件”），但在新系统导出申报单失败，需要完善报批稿信息，如有部分信息无法完善的，请联系技术支持！</w:t>
      </w:r>
    </w:p>
    <w:p>
      <w:pPr>
        <w:pStyle w:val="52"/>
        <w:numPr>
          <w:ilvl w:val="0"/>
          <w:numId w:val="4"/>
        </w:numPr>
        <w:ind w:firstLineChars="0"/>
      </w:pPr>
      <w:r>
        <w:t>报批稿信息按格式要求填写完毕后，会提交给单位主帐号（此功能对于单位盖章件），提交后报批稿状态变更为“待上传扫描件”，此时如信息填写不对可进行“报批稿信息修改”。提交后单位主帐号会收到消息提醒</w:t>
      </w:r>
      <w:r>
        <w:rPr>
          <w:rFonts w:hint="eastAsia"/>
        </w:rPr>
        <w:t>，如下图：</w:t>
      </w:r>
    </w:p>
    <w:p>
      <w:pPr>
        <w:pStyle w:val="52"/>
        <w:ind w:left="326" w:leftChars="136" w:firstLine="0" w:firstLineChars="0"/>
      </w:pPr>
      <w:r>
        <w:drawing>
          <wp:inline distT="0" distB="0" distL="0" distR="0">
            <wp:extent cx="5759450" cy="39674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4"/>
        </w:numPr>
        <w:ind w:firstLineChars="0"/>
      </w:pPr>
      <w:r>
        <w:rPr>
          <w:rFonts w:hint="eastAsia"/>
        </w:rPr>
        <w:t>提交后需要导出待盖章的申报单。并进行盖章扫描件上传，上传后报批稿状态变更为“提交”状态。此时待协会秘书处审核。</w:t>
      </w:r>
    </w:p>
    <w:p>
      <w:pPr>
        <w:pStyle w:val="52"/>
        <w:ind w:left="720" w:firstLine="0" w:firstLineChars="0"/>
        <w:rPr>
          <w:color w:val="FF0000"/>
        </w:rPr>
      </w:pPr>
      <w:r>
        <w:rPr>
          <w:rFonts w:hint="eastAsia"/>
          <w:color w:val="FF0000"/>
        </w:rPr>
        <w:t>PS：其中团标不需要申报单，请注意！</w:t>
      </w:r>
    </w:p>
    <w:p>
      <w:pPr>
        <w:pStyle w:val="52"/>
        <w:ind w:left="720" w:firstLine="0" w:firstLineChars="0"/>
      </w:pPr>
      <w:r>
        <w:drawing>
          <wp:inline distT="0" distB="0" distL="0" distR="0">
            <wp:extent cx="5486400" cy="19507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4"/>
        </w:numPr>
        <w:ind w:firstLineChars="0"/>
      </w:pPr>
      <w:r>
        <w:rPr>
          <w:rFonts w:hint="eastAsia"/>
        </w:rPr>
        <w:t>秘书处审核通过后，项目阶段变更为“</w:t>
      </w:r>
      <w:r>
        <w:t>50.00 -报批稿清单已接收</w:t>
      </w:r>
      <w:r>
        <w:rPr>
          <w:rFonts w:hint="eastAsia"/>
        </w:rPr>
        <w:t>”。如下图：</w:t>
      </w:r>
    </w:p>
    <w:p>
      <w:pPr>
        <w:pStyle w:val="52"/>
        <w:ind w:left="566" w:leftChars="236" w:firstLine="0" w:firstLineChars="0"/>
      </w:pPr>
      <w:r>
        <w:drawing>
          <wp:inline distT="0" distB="0" distL="0" distR="0">
            <wp:extent cx="5759450" cy="253746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4"/>
        </w:numPr>
        <w:ind w:firstLineChars="0"/>
      </w:pPr>
      <w:r>
        <w:rPr>
          <w:rFonts w:hint="eastAsia"/>
        </w:rPr>
        <w:t>如报批稿被退回则会进行消息提醒，并更新报批稿状态。</w:t>
      </w:r>
      <w:bookmarkEnd w:id="93"/>
      <w:r>
        <w:rPr>
          <w:rFonts w:hint="eastAsia"/>
        </w:rPr>
        <w:t>同样可在“提交报批稿材料”菜单中查看。</w:t>
      </w:r>
    </w:p>
    <w:p>
      <w:pPr>
        <w:pStyle w:val="2"/>
      </w:pPr>
      <w:bookmarkStart w:id="94" w:name="_Toc1636278577"/>
      <w:r>
        <w:rPr>
          <w:rFonts w:hint="eastAsia"/>
        </w:rPr>
        <w:t>标准查询</w:t>
      </w:r>
      <w:bookmarkEnd w:id="94"/>
    </w:p>
    <w:p>
      <w:pPr>
        <w:ind w:firstLine="480"/>
      </w:pPr>
      <w:r>
        <w:rPr>
          <w:rFonts w:hint="eastAsia"/>
        </w:rPr>
        <w:t>标准查询分为门户和服务中心两个入口</w:t>
      </w:r>
    </w:p>
    <w:p>
      <w:pPr>
        <w:pStyle w:val="4"/>
      </w:pPr>
      <w:bookmarkStart w:id="95" w:name="_Toc258460157"/>
      <w:r>
        <w:rPr>
          <w:rFonts w:hint="eastAsia"/>
        </w:rPr>
        <w:t>门户的标准查询</w:t>
      </w:r>
      <w:bookmarkEnd w:id="95"/>
    </w:p>
    <w:p>
      <w:pPr>
        <w:ind w:firstLine="480"/>
      </w:pPr>
      <w:r>
        <w:rPr>
          <w:rFonts w:hint="eastAsia"/>
        </w:rPr>
        <w:t>（1）点击门户标准查询按钮</w:t>
      </w:r>
    </w:p>
    <w:p>
      <w:pPr>
        <w:ind w:firstLine="480"/>
      </w:pPr>
      <w:r>
        <w:drawing>
          <wp:inline distT="0" distB="0" distL="0" distR="0">
            <wp:extent cx="5486400" cy="741680"/>
            <wp:effectExtent l="0" t="0" r="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（2）按照分类进行标准查询，可进行通信词典查询</w:t>
      </w:r>
    </w:p>
    <w:p>
      <w:pPr>
        <w:ind w:firstLine="480"/>
      </w:pPr>
      <w:r>
        <w:drawing>
          <wp:inline distT="0" distB="0" distL="0" distR="0">
            <wp:extent cx="4243070" cy="2407920"/>
            <wp:effectExtent l="0" t="0" r="508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870" cy="241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（3）点击标准号进入标准详情</w:t>
      </w:r>
    </w:p>
    <w:p>
      <w:pPr>
        <w:ind w:firstLine="480"/>
      </w:pPr>
      <w:r>
        <w:drawing>
          <wp:inline distT="0" distB="0" distL="0" distR="0">
            <wp:extent cx="5486400" cy="2661920"/>
            <wp:effectExtent l="0" t="0" r="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PS：标准的全文需要在服务中心下载，门户仅提供查询功能。</w:t>
      </w:r>
    </w:p>
    <w:p>
      <w:pPr>
        <w:ind w:firstLine="480"/>
      </w:pPr>
    </w:p>
    <w:p>
      <w:pPr>
        <w:pStyle w:val="4"/>
      </w:pPr>
      <w:bookmarkStart w:id="96" w:name="_Toc1727924465"/>
      <w:r>
        <w:rPr>
          <w:rFonts w:hint="eastAsia"/>
        </w:rPr>
        <w:t>服务中心的标准查询及下载</w:t>
      </w:r>
      <w:bookmarkEnd w:id="96"/>
    </w:p>
    <w:p>
      <w:pPr>
        <w:ind w:firstLine="480"/>
      </w:pPr>
      <w:r>
        <w:rPr>
          <w:rFonts w:hint="eastAsia"/>
        </w:rPr>
        <w:t>（1）点击服务中心的标准查询页面，点击展开可显示更多的查询条件。</w:t>
      </w:r>
    </w:p>
    <w:p>
      <w:pPr>
        <w:ind w:firstLine="480"/>
      </w:pPr>
      <w:r>
        <w:drawing>
          <wp:inline distT="0" distB="0" distL="0" distR="0">
            <wp:extent cx="5759450" cy="24644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P</w:t>
      </w:r>
      <w:r>
        <w:rPr>
          <w:color w:val="FF0000"/>
        </w:rPr>
        <w:t>S</w:t>
      </w:r>
      <w:r>
        <w:rPr>
          <w:rFonts w:hint="eastAsia"/>
          <w:color w:val="FF0000"/>
        </w:rPr>
        <w:t>：增加导出标准题录信息按钮，可根据查询条件导出对应的标准信息。</w:t>
      </w:r>
    </w:p>
    <w:p>
      <w:pPr>
        <w:ind w:firstLine="480"/>
      </w:pPr>
      <w:r>
        <w:rPr>
          <w:rFonts w:hint="eastAsia"/>
        </w:rPr>
        <w:t>（2）输入查询条件后显示查询的结果</w:t>
      </w:r>
    </w:p>
    <w:p>
      <w:pPr>
        <w:ind w:firstLine="480"/>
      </w:pPr>
      <w:r>
        <w:drawing>
          <wp:inline distT="0" distB="0" distL="0" distR="0">
            <wp:extent cx="5759450" cy="26568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（3）点击标准号 查看标准详情以及标准全文下载</w:t>
      </w:r>
    </w:p>
    <w:p>
      <w:pPr>
        <w:ind w:firstLine="480"/>
      </w:pPr>
      <w:r>
        <w:drawing>
          <wp:inline distT="0" distB="0" distL="0" distR="0">
            <wp:extent cx="5486400" cy="1464310"/>
            <wp:effectExtent l="0" t="0" r="0" b="254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（4）标准下载时会进行会员下载页数扣除</w:t>
      </w:r>
    </w:p>
    <w:p>
      <w:pPr>
        <w:ind w:firstLine="480"/>
      </w:pPr>
      <w:r>
        <w:drawing>
          <wp:inline distT="0" distB="0" distL="0" distR="0">
            <wp:extent cx="5486400" cy="163893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4"/>
        </w:numPr>
        <w:ind w:firstLineChars="0"/>
      </w:pPr>
      <w:r>
        <w:rPr>
          <w:rFonts w:hint="eastAsia"/>
        </w:rPr>
        <w:t>会员的总下载页数以及下载详情，可在“标准库管理-下载记录页面”查看。</w:t>
      </w:r>
    </w:p>
    <w:p>
      <w:pPr>
        <w:ind w:left="567" w:firstLine="0" w:firstLineChars="0"/>
      </w:pPr>
      <w:r>
        <w:drawing>
          <wp:inline distT="0" distB="0" distL="0" distR="0">
            <wp:extent cx="5486400" cy="248539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7" w:name="_Toc805124874"/>
      <w:r>
        <w:rPr>
          <w:rFonts w:hint="eastAsia"/>
        </w:rPr>
        <w:t>项目查询</w:t>
      </w:r>
      <w:bookmarkEnd w:id="97"/>
    </w:p>
    <w:p>
      <w:pPr>
        <w:pStyle w:val="3"/>
      </w:pPr>
      <w:bookmarkStart w:id="98" w:name="_Toc439297571"/>
      <w:r>
        <w:rPr>
          <w:rFonts w:hint="eastAsia"/>
        </w:rPr>
        <w:t>点击服务中心“项目查询”菜单</w:t>
      </w:r>
      <w:bookmarkEnd w:id="98"/>
    </w:p>
    <w:p>
      <w:pPr>
        <w:ind w:firstLine="480"/>
      </w:pPr>
      <w:r>
        <w:drawing>
          <wp:inline distT="0" distB="0" distL="0" distR="0">
            <wp:extent cx="5759450" cy="33750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PS：初始页面会展示2</w:t>
      </w:r>
      <w:r>
        <w:rPr>
          <w:color w:val="FF0000"/>
        </w:rPr>
        <w:t>0</w:t>
      </w:r>
      <w:r>
        <w:rPr>
          <w:rFonts w:hint="eastAsia"/>
          <w:color w:val="FF0000"/>
        </w:rPr>
        <w:t>条项目信息，可以输入查询条件按条件查询。</w:t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增加导出项目功能，可以根据查询条件导出对应的项目信息。</w:t>
      </w:r>
    </w:p>
    <w:p>
      <w:pPr>
        <w:pStyle w:val="3"/>
      </w:pPr>
      <w:bookmarkStart w:id="99" w:name="_Toc225497411"/>
      <w:r>
        <w:rPr>
          <w:rFonts w:hint="eastAsia"/>
        </w:rPr>
        <w:t>项目查询可查询所有20阶段之后的项目信息</w:t>
      </w:r>
      <w:bookmarkEnd w:id="99"/>
    </w:p>
    <w:p>
      <w:pPr>
        <w:ind w:firstLine="480"/>
      </w:pPr>
      <w:r>
        <w:drawing>
          <wp:inline distT="0" distB="0" distL="0" distR="0">
            <wp:extent cx="5759450" cy="21615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0" w:name="_Toc1773833369"/>
      <w:r>
        <w:rPr>
          <w:rFonts w:hint="eastAsia"/>
        </w:rPr>
        <w:t>查询结果点击查看，会显示该项目的详情以及过程文稿</w:t>
      </w:r>
      <w:bookmarkEnd w:id="100"/>
    </w:p>
    <w:p>
      <w:pPr>
        <w:ind w:firstLine="480"/>
      </w:pPr>
      <w:r>
        <w:drawing>
          <wp:inline distT="0" distB="0" distL="0" distR="0">
            <wp:extent cx="5486400" cy="68834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0" distR="0">
            <wp:extent cx="5486400" cy="2734945"/>
            <wp:effectExtent l="0" t="0" r="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</w:pPr>
      <w:bookmarkStart w:id="101" w:name="_Toc1449445129"/>
      <w:r>
        <w:rPr>
          <w:rFonts w:hint="eastAsia"/>
        </w:rPr>
        <w:t>标准科技奖</w:t>
      </w:r>
      <w:bookmarkEnd w:id="101"/>
    </w:p>
    <w:p>
      <w:pPr>
        <w:pStyle w:val="3"/>
      </w:pPr>
      <w:bookmarkStart w:id="102" w:name="_Toc1917275182"/>
      <w:r>
        <w:rPr>
          <w:rFonts w:hint="eastAsia"/>
        </w:rPr>
        <w:t>点击服务中心“标准科技奖</w:t>
      </w:r>
      <w:r>
        <w:t>—</w:t>
      </w:r>
      <w:r>
        <w:rPr>
          <w:rFonts w:hint="eastAsia"/>
        </w:rPr>
        <w:t>科学技术奖申报”</w:t>
      </w:r>
      <w:bookmarkEnd w:id="102"/>
    </w:p>
    <w:p>
      <w:pPr>
        <w:ind w:firstLine="480"/>
      </w:pPr>
      <w:r>
        <w:rPr>
          <w:rFonts w:hint="eastAsia"/>
        </w:rPr>
        <w:t>用户可以对已发布的奖项进行申报</w:t>
      </w:r>
    </w:p>
    <w:p>
      <w:pPr>
        <w:ind w:firstLine="480"/>
      </w:pPr>
      <w:r>
        <w:rPr>
          <w:rFonts w:hint="eastAsia"/>
        </w:rPr>
        <w:drawing>
          <wp:inline distT="0" distB="0" distL="0" distR="0">
            <wp:extent cx="5759450" cy="6508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3" w:name="_Toc651860639"/>
      <w:r>
        <w:rPr>
          <w:rFonts w:hint="eastAsia"/>
        </w:rPr>
        <w:t>填写时可选择下一步或暂存</w:t>
      </w:r>
      <w:bookmarkEnd w:id="103"/>
    </w:p>
    <w:p>
      <w:pPr>
        <w:ind w:firstLine="480"/>
      </w:pPr>
      <w:r>
        <w:drawing>
          <wp:inline distT="0" distB="0" distL="0" distR="0">
            <wp:extent cx="5486400" cy="349123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4" w:name="_Toc1507676326"/>
      <w:r>
        <w:rPr>
          <w:rFonts w:hint="eastAsia"/>
        </w:rPr>
        <w:t>暂存后在“我的申报书”中可继续填写</w:t>
      </w:r>
      <w:bookmarkEnd w:id="104"/>
    </w:p>
    <w:p>
      <w:pPr>
        <w:ind w:firstLine="480"/>
      </w:pPr>
      <w:r>
        <w:drawing>
          <wp:inline distT="0" distB="0" distL="0" distR="0">
            <wp:extent cx="5486400" cy="101282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5" w:name="_Toc1356460129"/>
      <w:r>
        <w:rPr>
          <w:rFonts w:hint="eastAsia"/>
        </w:rPr>
        <w:t>图片内容需要插入，不可直接粘贴</w:t>
      </w:r>
      <w:bookmarkEnd w:id="105"/>
    </w:p>
    <w:p>
      <w:pPr>
        <w:ind w:firstLine="480" w:firstLineChars="0"/>
      </w:pPr>
      <w:r>
        <w:drawing>
          <wp:inline distT="0" distB="0" distL="0" distR="0">
            <wp:extent cx="5486400" cy="1670685"/>
            <wp:effectExtent l="0" t="0" r="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0"/>
      </w:pPr>
    </w:p>
    <w:p>
      <w:pPr>
        <w:pStyle w:val="2"/>
        <w:spacing w:line="240" w:lineRule="auto"/>
      </w:pPr>
      <w:bookmarkStart w:id="106" w:name="_Toc338991551"/>
      <w:r>
        <w:rPr>
          <w:rFonts w:hint="eastAsia"/>
        </w:rPr>
        <w:t>标准项目工作站（外文版）</w:t>
      </w:r>
      <w:bookmarkEnd w:id="106"/>
    </w:p>
    <w:p>
      <w:pPr>
        <w:ind w:firstLine="0" w:firstLineChars="0"/>
      </w:pPr>
      <w:r>
        <w:rPr>
          <w:rFonts w:hint="eastAsia"/>
        </w:rPr>
        <w:t>9.1点击标准项目工作站（外文版），进入行标外文版制修订模块。</w:t>
      </w:r>
    </w:p>
    <w:p>
      <w:pPr>
        <w:ind w:firstLine="480"/>
      </w:pPr>
      <w:r>
        <w:rPr>
          <w:rFonts w:hint="eastAsia"/>
        </w:rPr>
        <w:drawing>
          <wp:inline distT="0" distB="0" distL="0" distR="0">
            <wp:extent cx="1903730" cy="4517390"/>
            <wp:effectExtent l="19050" t="0" r="1270" b="0"/>
            <wp:docPr id="8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99" w:firstLineChars="83"/>
      </w:pPr>
    </w:p>
    <w:p>
      <w:pPr>
        <w:ind w:firstLine="0" w:firstLineChars="0"/>
      </w:pPr>
      <w:r>
        <w:rPr>
          <w:rFonts w:hint="eastAsia"/>
        </w:rPr>
        <w:t>9.2 我提交的项目申请</w:t>
      </w:r>
    </w:p>
    <w:p>
      <w:pPr>
        <w:ind w:firstLine="0" w:firstLineChars="0"/>
      </w:pPr>
      <w:r>
        <w:rPr>
          <w:rFonts w:hint="eastAsia"/>
        </w:rPr>
        <w:t>（1）点击提交项目申请，该模块只能提交外文版的行标项目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759450" cy="1999615"/>
            <wp:effectExtent l="19050" t="0" r="0" b="0"/>
            <wp:docPr id="8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（2）该菜单和中文版的标准项目工作站很类似，但阶段不一样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759450" cy="2875915"/>
            <wp:effectExtent l="19050" t="0" r="0" b="0"/>
            <wp:docPr id="9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（3）填报外文版的行标需要填写中文版行标的计划号或者标准号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759450" cy="2087245"/>
            <wp:effectExtent l="19050" t="0" r="0" b="0"/>
            <wp:docPr id="9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9.3提交和查询项目文稿</w:t>
      </w:r>
    </w:p>
    <w:p>
      <w:pPr>
        <w:ind w:firstLine="0" w:firstLineChars="0"/>
      </w:pPr>
      <w:r>
        <w:rPr>
          <w:rFonts w:hint="eastAsia"/>
        </w:rPr>
        <w:t>该菜单提交征求草案意见稿和送审稿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759450" cy="1850390"/>
            <wp:effectExtent l="19050" t="0" r="0" b="0"/>
            <wp:docPr id="9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5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9.4提交报批稿材料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759450" cy="1915160"/>
            <wp:effectExtent l="19050" t="0" r="0" b="0"/>
            <wp:docPr id="9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9.5非会员单位也能够填报行标外文版，但必须向协会提交申请</w:t>
      </w:r>
    </w:p>
    <w:p>
      <w:pPr>
        <w:ind w:firstLine="0" w:firstLineChars="0"/>
      </w:pPr>
      <w:r>
        <w:rPr>
          <w:rFonts w:hint="eastAsia"/>
          <w:color w:val="FF0000"/>
        </w:rPr>
        <w:t>注意</w:t>
      </w:r>
      <w:r>
        <w:rPr>
          <w:rFonts w:hint="eastAsia"/>
        </w:rPr>
        <w:t>：必须是单位主账号，点击外文版权限开通申请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759450" cy="3259455"/>
            <wp:effectExtent l="19050" t="0" r="0" b="0"/>
            <wp:docPr id="9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759450" cy="3580765"/>
            <wp:effectExtent l="19050" t="0" r="0" b="0"/>
            <wp:docPr id="95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8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选择日期，在协会同意后，在一段时间具有填报权限。</w:t>
      </w:r>
    </w:p>
    <w:p>
      <w:pPr>
        <w:pStyle w:val="2"/>
      </w:pPr>
      <w:bookmarkStart w:id="107" w:name="_Toc156882166"/>
      <w:r>
        <w:rPr>
          <w:rFonts w:hint="eastAsia"/>
        </w:rPr>
        <w:t>IPR管理</w:t>
      </w:r>
      <w:bookmarkEnd w:id="107"/>
    </w:p>
    <w:p>
      <w:pPr>
        <w:pStyle w:val="3"/>
      </w:pPr>
      <w:bookmarkStart w:id="108" w:name="_Toc1756129093"/>
      <w:r>
        <w:rPr>
          <w:rFonts w:hint="eastAsia"/>
        </w:rPr>
        <w:t>IPR查询</w:t>
      </w:r>
      <w:bookmarkEnd w:id="108"/>
    </w:p>
    <w:p>
      <w:pPr>
        <w:ind w:firstLine="0" w:firstLineChars="0"/>
      </w:pPr>
      <w:r>
        <w:rPr>
          <w:rFonts w:hint="eastAsia"/>
        </w:rPr>
        <w:t>该菜单进行标准查询和专利查询，两者注重点不同；标准查询主要查询单条标准，该标准下可能有多条标准</w:t>
      </w:r>
    </w:p>
    <w:p>
      <w:pPr>
        <w:ind w:firstLine="0" w:firstLineChars="0"/>
      </w:pPr>
      <w:r>
        <w:drawing>
          <wp:inline distT="0" distB="0" distL="0" distR="0">
            <wp:extent cx="5759450" cy="1390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专利查询能够查询到专利的声明日期、专利权人、披露信息以及专利声明等。</w:t>
      </w:r>
    </w:p>
    <w:p>
      <w:pPr>
        <w:ind w:firstLine="0" w:firstLineChars="0"/>
      </w:pPr>
      <w:r>
        <w:drawing>
          <wp:inline distT="0" distB="0" distL="0" distR="0">
            <wp:extent cx="5759450" cy="34524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759450" cy="27387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10.2授权信息维护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759450" cy="2152015"/>
            <wp:effectExtent l="19050" t="0" r="0" b="0"/>
            <wp:docPr id="9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5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759450" cy="5561965"/>
            <wp:effectExtent l="19050" t="0" r="0" b="0"/>
            <wp:docPr id="100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6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在填报IPR之前，需要填写授权信息维护，是填报单位的一个证明，点击新增进行填写。</w:t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如果不填写授权信息维护，则系统会提示，点击确定前往填写。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4551680" cy="1739900"/>
            <wp:effectExtent l="19050" t="0" r="1270" b="0"/>
            <wp:docPr id="102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10.3国标、行标、3GPP填报</w:t>
      </w:r>
    </w:p>
    <w:p>
      <w:pPr>
        <w:ind w:firstLine="0" w:firstLineChars="0"/>
      </w:pPr>
      <w:r>
        <w:rPr>
          <w:rFonts w:hint="eastAsia"/>
        </w:rPr>
        <w:t>在授权信添加后，即可进行IPR填报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759450" cy="2512695"/>
            <wp:effectExtent l="19050" t="0" r="0" b="0"/>
            <wp:docPr id="103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1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</w:pPr>
      <w:bookmarkStart w:id="109" w:name="_Toc246421683"/>
      <w:r>
        <w:rPr>
          <w:rFonts w:hint="eastAsia"/>
        </w:rPr>
        <w:t>历史项目及标准等信息查询</w:t>
      </w:r>
      <w:bookmarkEnd w:id="109"/>
    </w:p>
    <w:p>
      <w:pPr>
        <w:pStyle w:val="3"/>
      </w:pPr>
      <w:bookmarkStart w:id="110" w:name="_Toc1260754765"/>
      <w:r>
        <w:rPr>
          <w:rFonts w:hint="eastAsia"/>
        </w:rPr>
        <w:t>网站的重要历史信息已完全保留</w:t>
      </w:r>
      <w:bookmarkEnd w:id="110"/>
    </w:p>
    <w:p>
      <w:pPr>
        <w:ind w:firstLine="480"/>
      </w:pPr>
      <w:r>
        <w:rPr>
          <w:rFonts w:hint="eastAsia"/>
        </w:rPr>
        <w:t>网站改造的前提是历史资料的保留，如发现有项目信息、标准信息、会议信息丢失，可实时反馈到网站技术支持。</w:t>
      </w:r>
    </w:p>
    <w:p>
      <w:pPr>
        <w:pStyle w:val="3"/>
      </w:pPr>
      <w:bookmarkStart w:id="111" w:name="_Toc284190406"/>
      <w:r>
        <w:rPr>
          <w:rFonts w:hint="eastAsia"/>
        </w:rPr>
        <w:t>历史会议查询</w:t>
      </w:r>
      <w:bookmarkEnd w:id="111"/>
    </w:p>
    <w:p>
      <w:pPr>
        <w:ind w:firstLine="480"/>
      </w:pPr>
      <w:r>
        <w:rPr>
          <w:rFonts w:hint="eastAsia"/>
        </w:rPr>
        <w:t>目前2020.6.1号之前的会议我们都保存在“服务中心-历史会议”菜单，会议文稿也都支持下载。</w:t>
      </w:r>
    </w:p>
    <w:p>
      <w:pPr>
        <w:pStyle w:val="3"/>
      </w:pPr>
      <w:bookmarkStart w:id="112" w:name="_Toc384522714"/>
      <w:r>
        <w:rPr>
          <w:rFonts w:hint="eastAsia"/>
        </w:rPr>
        <w:t>历史项目信息查询</w:t>
      </w:r>
      <w:bookmarkEnd w:id="112"/>
    </w:p>
    <w:p>
      <w:pPr>
        <w:ind w:firstLine="480"/>
      </w:pPr>
      <w:r>
        <w:rPr>
          <w:rFonts w:hint="eastAsia"/>
        </w:rPr>
        <w:t>历史项目信息目前在项目查询中都可进行信息查询和文稿下载。</w:t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同老系统项目检索</w:t>
      </w:r>
    </w:p>
    <w:p>
      <w:pPr>
        <w:ind w:firstLine="480"/>
      </w:pPr>
      <w:r>
        <w:drawing>
          <wp:inline distT="0" distB="0" distL="0" distR="0">
            <wp:extent cx="5486400" cy="3275330"/>
            <wp:effectExtent l="0" t="0" r="0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pStyle w:val="3"/>
      </w:pPr>
      <w:bookmarkStart w:id="113" w:name="_Toc894960375"/>
      <w:r>
        <w:rPr>
          <w:rFonts w:hint="eastAsia"/>
        </w:rPr>
        <w:t>标准信息查询</w:t>
      </w:r>
      <w:bookmarkEnd w:id="113"/>
    </w:p>
    <w:p>
      <w:pPr>
        <w:ind w:firstLine="480"/>
      </w:pPr>
      <w:r>
        <w:rPr>
          <w:rFonts w:hint="eastAsia"/>
        </w:rPr>
        <w:t>历史标准信息目前在标准查询中都可进行信息查询和文稿下载。</w:t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同老系统标准查询</w:t>
      </w:r>
    </w:p>
    <w:p>
      <w:pPr>
        <w:ind w:firstLine="480"/>
      </w:pPr>
      <w:r>
        <w:drawing>
          <wp:inline distT="0" distB="0" distL="0" distR="0">
            <wp:extent cx="5486400" cy="1021080"/>
            <wp:effectExtent l="0" t="0" r="0" b="762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14" w:name="_Toc623559037"/>
      <w:r>
        <w:rPr>
          <w:rFonts w:hint="eastAsia"/>
        </w:rPr>
        <w:t>服务中心入口</w:t>
      </w:r>
      <w:bookmarkEnd w:id="114"/>
    </w:p>
    <w:p>
      <w:pPr>
        <w:ind w:firstLine="480"/>
      </w:pPr>
      <w:r>
        <w:rPr>
          <w:rFonts w:hint="eastAsia"/>
        </w:rPr>
        <w:t>（1）入口一</w:t>
      </w:r>
    </w:p>
    <w:p>
      <w:pPr>
        <w:ind w:firstLine="480"/>
      </w:pPr>
      <w:r>
        <w:drawing>
          <wp:inline distT="0" distB="0" distL="0" distR="0">
            <wp:extent cx="5486400" cy="758825"/>
            <wp:effectExtent l="0" t="0" r="0" b="31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（2）入口二</w:t>
      </w:r>
    </w:p>
    <w:p>
      <w:pPr>
        <w:ind w:firstLine="480"/>
      </w:pPr>
      <w:r>
        <w:drawing>
          <wp:inline distT="0" distB="0" distL="0" distR="0">
            <wp:extent cx="5486400" cy="118808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（3）入口三</w:t>
      </w:r>
    </w:p>
    <w:p>
      <w:pPr>
        <w:ind w:firstLine="480"/>
      </w:pPr>
      <w:r>
        <w:drawing>
          <wp:inline distT="0" distB="0" distL="0" distR="0">
            <wp:extent cx="5486400" cy="68834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（4）入口四</w:t>
      </w:r>
    </w:p>
    <w:p>
      <w:pPr>
        <w:ind w:firstLine="480"/>
      </w:pPr>
      <w:r>
        <w:fldChar w:fldCharType="begin"/>
      </w:r>
      <w:r>
        <w:instrText xml:space="preserve"> HYPERLINK "https://www.ccsa.org.cn/webadmin" </w:instrText>
      </w:r>
      <w:r>
        <w:fldChar w:fldCharType="separate"/>
      </w:r>
      <w:r>
        <w:rPr>
          <w:rStyle w:val="31"/>
        </w:rPr>
        <w:t>https://www.ccsa.org.cn/webadmin</w:t>
      </w:r>
      <w:r>
        <w:rPr>
          <w:rStyle w:val="31"/>
        </w:rPr>
        <w:fldChar w:fldCharType="end"/>
      </w:r>
    </w:p>
    <w:p>
      <w:pPr>
        <w:pStyle w:val="2"/>
      </w:pPr>
      <w:bookmarkStart w:id="115" w:name="_Toc46854687"/>
      <w:bookmarkStart w:id="116" w:name="_Toc436537499"/>
      <w:r>
        <w:rPr>
          <w:rFonts w:hint="eastAsia"/>
        </w:rPr>
        <w:t>网站技术支持</w:t>
      </w:r>
      <w:bookmarkEnd w:id="115"/>
      <w:bookmarkEnd w:id="116"/>
    </w:p>
    <w:p>
      <w:pPr>
        <w:ind w:firstLine="480"/>
      </w:pPr>
      <w:r>
        <w:rPr>
          <w:rFonts w:hint="eastAsia"/>
        </w:rPr>
        <w:t>技术接口人：戴礼云</w:t>
      </w:r>
      <w:r>
        <w:t xml:space="preserve">   联系方式：15798403826   邮箱：</w:t>
      </w:r>
      <w:r>
        <w:rPr>
          <w:rFonts w:hint="eastAsia"/>
        </w:rPr>
        <w:t>support@ccsa.org.cn</w:t>
      </w:r>
      <w:r>
        <w:br w:type="page"/>
      </w:r>
    </w:p>
    <w:p>
      <w:pPr>
        <w:ind w:firstLine="48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18" w:right="1418" w:bottom="1418" w:left="1418" w:header="851" w:footer="851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0" w:firstLineChars="0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4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fldChar w:fldCharType="begin"/>
    </w:r>
    <w:r>
      <w:instrText xml:space="preserve">NUMPAGES  \* Arabic  \* MERGEFORMAT</w:instrText>
    </w:r>
    <w:r>
      <w:fldChar w:fldCharType="separate"/>
    </w:r>
    <w:r>
      <w:rPr>
        <w:b/>
        <w:bCs/>
        <w:lang w:val="zh-CN"/>
      </w:rPr>
      <w:t>42</w:t>
    </w:r>
    <w:r>
      <w:rPr>
        <w:b/>
        <w:bCs/>
        <w:lang w:val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0" w:firstLineChars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72725B"/>
    <w:multiLevelType w:val="multilevel"/>
    <w:tmpl w:val="2B72725B"/>
    <w:lvl w:ilvl="0" w:tentative="0">
      <w:start w:val="1"/>
      <w:numFmt w:val="decimal"/>
      <w:lvlText w:val="（%1）"/>
      <w:lvlJc w:val="left"/>
      <w:pPr>
        <w:ind w:left="1287" w:hanging="720"/>
      </w:pPr>
      <w:rPr>
        <w:rFonts w:hint="default"/>
        <w:color w:val="auto"/>
        <w:lang w:val="en-US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321F080A"/>
    <w:multiLevelType w:val="multilevel"/>
    <w:tmpl w:val="321F080A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987A4F"/>
    <w:multiLevelType w:val="multilevel"/>
    <w:tmpl w:val="34987A4F"/>
    <w:lvl w:ilvl="0" w:tentative="0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6EF73C8C"/>
    <w:multiLevelType w:val="multilevel"/>
    <w:tmpl w:val="6EF73C8C"/>
    <w:lvl w:ilvl="0" w:tentative="0">
      <w:start w:val="1"/>
      <w:numFmt w:val="decimal"/>
      <w:pStyle w:val="2"/>
      <w:suff w:val="space"/>
      <w:lvlText w:val="%1"/>
      <w:lvlJc w:val="left"/>
      <w:pPr>
        <w:ind w:left="284" w:hanging="284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284" w:hanging="284"/>
      </w:pPr>
      <w:rPr>
        <w:rFonts w:hint="eastAsia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284" w:hanging="284"/>
      </w:pPr>
      <w:rPr>
        <w:rFonts w:hint="eastAsia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284" w:hanging="284"/>
      </w:pPr>
      <w:rPr>
        <w:rFonts w:hint="eastAsia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284" w:hanging="284"/>
      </w:pPr>
      <w:rPr>
        <w:rFonts w:hint="eastAsia"/>
      </w:rPr>
    </w:lvl>
    <w:lvl w:ilvl="5" w:tentative="0">
      <w:start w:val="1"/>
      <w:numFmt w:val="decimal"/>
      <w:pStyle w:val="7"/>
      <w:suff w:val="space"/>
      <w:lvlText w:val="%1.%2.%3.%4.%5.%6"/>
      <w:lvlJc w:val="left"/>
      <w:pPr>
        <w:ind w:left="284" w:hanging="284"/>
      </w:pPr>
      <w:rPr>
        <w:rFonts w:hint="eastAsia"/>
      </w:rPr>
    </w:lvl>
    <w:lvl w:ilvl="6" w:tentative="0">
      <w:start w:val="1"/>
      <w:numFmt w:val="decimal"/>
      <w:pStyle w:val="8"/>
      <w:suff w:val="space"/>
      <w:lvlText w:val="%1.%2.%3.%4.%5.%6.%7"/>
      <w:lvlJc w:val="left"/>
      <w:pPr>
        <w:ind w:left="284" w:hanging="284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7" w:tentative="0">
      <w:start w:val="1"/>
      <w:numFmt w:val="decimal"/>
      <w:pStyle w:val="9"/>
      <w:suff w:val="space"/>
      <w:lvlText w:val="%1.%2.%3.%4.%5.%6.%7.%8"/>
      <w:lvlJc w:val="left"/>
      <w:pPr>
        <w:ind w:left="284" w:hanging="284"/>
      </w:pPr>
      <w:rPr>
        <w:rFonts w:hint="eastAsia"/>
      </w:rPr>
    </w:lvl>
    <w:lvl w:ilvl="8" w:tentative="0">
      <w:start w:val="1"/>
      <w:numFmt w:val="decimal"/>
      <w:pStyle w:val="10"/>
      <w:suff w:val="space"/>
      <w:lvlText w:val="%1.%2.%3.%4.%5.%6.%7.%8.%9"/>
      <w:lvlJc w:val="left"/>
      <w:pPr>
        <w:ind w:left="284" w:hanging="284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5D1F"/>
    <w:rsid w:val="00015982"/>
    <w:rsid w:val="00017204"/>
    <w:rsid w:val="0002691A"/>
    <w:rsid w:val="000270B2"/>
    <w:rsid w:val="000309D2"/>
    <w:rsid w:val="0006194A"/>
    <w:rsid w:val="0006662A"/>
    <w:rsid w:val="00081C6F"/>
    <w:rsid w:val="000C5B34"/>
    <w:rsid w:val="000E5CD8"/>
    <w:rsid w:val="000F5054"/>
    <w:rsid w:val="001012CB"/>
    <w:rsid w:val="001028B6"/>
    <w:rsid w:val="001028CB"/>
    <w:rsid w:val="00113C8C"/>
    <w:rsid w:val="00114103"/>
    <w:rsid w:val="001144ED"/>
    <w:rsid w:val="001309D5"/>
    <w:rsid w:val="0016123A"/>
    <w:rsid w:val="001767D1"/>
    <w:rsid w:val="00180D00"/>
    <w:rsid w:val="001B1D94"/>
    <w:rsid w:val="001B4CA9"/>
    <w:rsid w:val="001C5D85"/>
    <w:rsid w:val="002126AB"/>
    <w:rsid w:val="00222BCE"/>
    <w:rsid w:val="0022761A"/>
    <w:rsid w:val="0024098A"/>
    <w:rsid w:val="00275EF6"/>
    <w:rsid w:val="00287513"/>
    <w:rsid w:val="0029581F"/>
    <w:rsid w:val="002A3540"/>
    <w:rsid w:val="002A3EB6"/>
    <w:rsid w:val="002D1C72"/>
    <w:rsid w:val="002D207C"/>
    <w:rsid w:val="002E3967"/>
    <w:rsid w:val="002E3D2D"/>
    <w:rsid w:val="003039E2"/>
    <w:rsid w:val="00342BEB"/>
    <w:rsid w:val="0034580D"/>
    <w:rsid w:val="003775EE"/>
    <w:rsid w:val="00385536"/>
    <w:rsid w:val="003872C7"/>
    <w:rsid w:val="00391016"/>
    <w:rsid w:val="003A29FD"/>
    <w:rsid w:val="003A696B"/>
    <w:rsid w:val="003D2440"/>
    <w:rsid w:val="003D5AFE"/>
    <w:rsid w:val="003D5F41"/>
    <w:rsid w:val="003F72B8"/>
    <w:rsid w:val="00431176"/>
    <w:rsid w:val="00435083"/>
    <w:rsid w:val="00443F01"/>
    <w:rsid w:val="00447DC7"/>
    <w:rsid w:val="004565C8"/>
    <w:rsid w:val="004754FA"/>
    <w:rsid w:val="00476583"/>
    <w:rsid w:val="004A356E"/>
    <w:rsid w:val="004A76F8"/>
    <w:rsid w:val="004B5DA6"/>
    <w:rsid w:val="004E3A9A"/>
    <w:rsid w:val="004E3BEB"/>
    <w:rsid w:val="004E4198"/>
    <w:rsid w:val="00503D0C"/>
    <w:rsid w:val="00504C1A"/>
    <w:rsid w:val="00507FB5"/>
    <w:rsid w:val="005170D1"/>
    <w:rsid w:val="00522A03"/>
    <w:rsid w:val="005559D1"/>
    <w:rsid w:val="005579BE"/>
    <w:rsid w:val="0056126B"/>
    <w:rsid w:val="0057137C"/>
    <w:rsid w:val="00580137"/>
    <w:rsid w:val="005C4123"/>
    <w:rsid w:val="005C654F"/>
    <w:rsid w:val="005D6862"/>
    <w:rsid w:val="005E207F"/>
    <w:rsid w:val="005E2171"/>
    <w:rsid w:val="005E50F2"/>
    <w:rsid w:val="005E5E7B"/>
    <w:rsid w:val="005F0B57"/>
    <w:rsid w:val="006012D9"/>
    <w:rsid w:val="00603828"/>
    <w:rsid w:val="00615F62"/>
    <w:rsid w:val="00620512"/>
    <w:rsid w:val="00636578"/>
    <w:rsid w:val="00642404"/>
    <w:rsid w:val="00656F6A"/>
    <w:rsid w:val="00663EE0"/>
    <w:rsid w:val="00664254"/>
    <w:rsid w:val="0066695D"/>
    <w:rsid w:val="006677B9"/>
    <w:rsid w:val="0068042A"/>
    <w:rsid w:val="006867A6"/>
    <w:rsid w:val="006B5379"/>
    <w:rsid w:val="006C2328"/>
    <w:rsid w:val="006C27FB"/>
    <w:rsid w:val="006C4A47"/>
    <w:rsid w:val="006C5E01"/>
    <w:rsid w:val="006D408E"/>
    <w:rsid w:val="006D62F4"/>
    <w:rsid w:val="00701DAF"/>
    <w:rsid w:val="007025F6"/>
    <w:rsid w:val="007075A7"/>
    <w:rsid w:val="00730F6A"/>
    <w:rsid w:val="00740E6E"/>
    <w:rsid w:val="007421AB"/>
    <w:rsid w:val="007465B9"/>
    <w:rsid w:val="00761C4D"/>
    <w:rsid w:val="00772116"/>
    <w:rsid w:val="00797A4F"/>
    <w:rsid w:val="007A09BE"/>
    <w:rsid w:val="007B5E4C"/>
    <w:rsid w:val="007C1951"/>
    <w:rsid w:val="007C3C3C"/>
    <w:rsid w:val="007D796D"/>
    <w:rsid w:val="008069AD"/>
    <w:rsid w:val="00812A97"/>
    <w:rsid w:val="00813952"/>
    <w:rsid w:val="0082171D"/>
    <w:rsid w:val="00825D82"/>
    <w:rsid w:val="00827E99"/>
    <w:rsid w:val="008364D8"/>
    <w:rsid w:val="008525E6"/>
    <w:rsid w:val="00856D5E"/>
    <w:rsid w:val="00870067"/>
    <w:rsid w:val="00884448"/>
    <w:rsid w:val="00884E4C"/>
    <w:rsid w:val="00894240"/>
    <w:rsid w:val="00895E9A"/>
    <w:rsid w:val="008C0FAD"/>
    <w:rsid w:val="008C456B"/>
    <w:rsid w:val="008D7A17"/>
    <w:rsid w:val="008E5D26"/>
    <w:rsid w:val="0090740D"/>
    <w:rsid w:val="009218D2"/>
    <w:rsid w:val="00950CD7"/>
    <w:rsid w:val="009543CB"/>
    <w:rsid w:val="00962BFE"/>
    <w:rsid w:val="009854DC"/>
    <w:rsid w:val="009918E5"/>
    <w:rsid w:val="00994223"/>
    <w:rsid w:val="00994F25"/>
    <w:rsid w:val="009B0B35"/>
    <w:rsid w:val="009B699B"/>
    <w:rsid w:val="009C467B"/>
    <w:rsid w:val="009D3A9C"/>
    <w:rsid w:val="009E656E"/>
    <w:rsid w:val="009F4EA3"/>
    <w:rsid w:val="00A1779C"/>
    <w:rsid w:val="00A20F64"/>
    <w:rsid w:val="00A2215B"/>
    <w:rsid w:val="00A33646"/>
    <w:rsid w:val="00A45D1F"/>
    <w:rsid w:val="00A46BE9"/>
    <w:rsid w:val="00A50B25"/>
    <w:rsid w:val="00A52E2B"/>
    <w:rsid w:val="00A57679"/>
    <w:rsid w:val="00A638AD"/>
    <w:rsid w:val="00A87DCD"/>
    <w:rsid w:val="00AC1ADD"/>
    <w:rsid w:val="00AD159D"/>
    <w:rsid w:val="00AD342F"/>
    <w:rsid w:val="00AE099F"/>
    <w:rsid w:val="00B17F2F"/>
    <w:rsid w:val="00B26CA3"/>
    <w:rsid w:val="00B26CDB"/>
    <w:rsid w:val="00B3037E"/>
    <w:rsid w:val="00B542AC"/>
    <w:rsid w:val="00B550F1"/>
    <w:rsid w:val="00B76D1B"/>
    <w:rsid w:val="00BA64CB"/>
    <w:rsid w:val="00BB1A5B"/>
    <w:rsid w:val="00BB517F"/>
    <w:rsid w:val="00BD688C"/>
    <w:rsid w:val="00BF0D21"/>
    <w:rsid w:val="00BF5DF6"/>
    <w:rsid w:val="00BF7E6F"/>
    <w:rsid w:val="00C06440"/>
    <w:rsid w:val="00C15BEB"/>
    <w:rsid w:val="00C25582"/>
    <w:rsid w:val="00C60BDC"/>
    <w:rsid w:val="00C67E30"/>
    <w:rsid w:val="00C80415"/>
    <w:rsid w:val="00C83479"/>
    <w:rsid w:val="00C94D85"/>
    <w:rsid w:val="00CB4FC1"/>
    <w:rsid w:val="00CC7ED4"/>
    <w:rsid w:val="00CE1168"/>
    <w:rsid w:val="00D057BD"/>
    <w:rsid w:val="00D32D21"/>
    <w:rsid w:val="00D40CAA"/>
    <w:rsid w:val="00D44003"/>
    <w:rsid w:val="00D61E7A"/>
    <w:rsid w:val="00D65259"/>
    <w:rsid w:val="00D73638"/>
    <w:rsid w:val="00D7776D"/>
    <w:rsid w:val="00D8578B"/>
    <w:rsid w:val="00D86C6E"/>
    <w:rsid w:val="00D93458"/>
    <w:rsid w:val="00D93FA0"/>
    <w:rsid w:val="00DB0F36"/>
    <w:rsid w:val="00DF425B"/>
    <w:rsid w:val="00E0269D"/>
    <w:rsid w:val="00E22306"/>
    <w:rsid w:val="00E32A24"/>
    <w:rsid w:val="00E32F75"/>
    <w:rsid w:val="00E3404B"/>
    <w:rsid w:val="00E37C60"/>
    <w:rsid w:val="00E431A7"/>
    <w:rsid w:val="00E50F8B"/>
    <w:rsid w:val="00E65382"/>
    <w:rsid w:val="00E96DD6"/>
    <w:rsid w:val="00EB74D7"/>
    <w:rsid w:val="00ED1A49"/>
    <w:rsid w:val="00ED1B36"/>
    <w:rsid w:val="00EF5C4E"/>
    <w:rsid w:val="00F113A7"/>
    <w:rsid w:val="00F20505"/>
    <w:rsid w:val="00F22388"/>
    <w:rsid w:val="00F34212"/>
    <w:rsid w:val="00F44C54"/>
    <w:rsid w:val="00F77ABB"/>
    <w:rsid w:val="00F84876"/>
    <w:rsid w:val="00F91836"/>
    <w:rsid w:val="00FC17E8"/>
    <w:rsid w:val="00FD5236"/>
    <w:rsid w:val="00FE3A31"/>
    <w:rsid w:val="16BB3F94"/>
    <w:rsid w:val="1977815D"/>
    <w:rsid w:val="1C7C5A4B"/>
    <w:rsid w:val="2DFF77E8"/>
    <w:rsid w:val="2FE35908"/>
    <w:rsid w:val="34B91489"/>
    <w:rsid w:val="375E4894"/>
    <w:rsid w:val="37BA7270"/>
    <w:rsid w:val="37DF1087"/>
    <w:rsid w:val="3A397444"/>
    <w:rsid w:val="3AB7C980"/>
    <w:rsid w:val="3D2551D0"/>
    <w:rsid w:val="3D7D9CDB"/>
    <w:rsid w:val="3E7FAB58"/>
    <w:rsid w:val="3F7D35FB"/>
    <w:rsid w:val="3FBFF383"/>
    <w:rsid w:val="417E3446"/>
    <w:rsid w:val="4FCFB654"/>
    <w:rsid w:val="4FFF5D83"/>
    <w:rsid w:val="5775577F"/>
    <w:rsid w:val="57FD1C6D"/>
    <w:rsid w:val="5ABEB1E9"/>
    <w:rsid w:val="5BDF90C4"/>
    <w:rsid w:val="5BFDF63A"/>
    <w:rsid w:val="5CBE9F6E"/>
    <w:rsid w:val="5D5EA17E"/>
    <w:rsid w:val="5DFB96BD"/>
    <w:rsid w:val="5F6D2D7F"/>
    <w:rsid w:val="63E71ED5"/>
    <w:rsid w:val="657C0575"/>
    <w:rsid w:val="674FA506"/>
    <w:rsid w:val="67FBD5AD"/>
    <w:rsid w:val="6A6CA21A"/>
    <w:rsid w:val="6DFB5633"/>
    <w:rsid w:val="6EF917C4"/>
    <w:rsid w:val="73F792EA"/>
    <w:rsid w:val="73F9B57C"/>
    <w:rsid w:val="75FC4D98"/>
    <w:rsid w:val="777D9742"/>
    <w:rsid w:val="77C1E84D"/>
    <w:rsid w:val="77DFF1E9"/>
    <w:rsid w:val="77EF25E1"/>
    <w:rsid w:val="7927F286"/>
    <w:rsid w:val="7ABEEA49"/>
    <w:rsid w:val="7E6DD55E"/>
    <w:rsid w:val="7E6F7646"/>
    <w:rsid w:val="7EB9594F"/>
    <w:rsid w:val="7EBA8A5F"/>
    <w:rsid w:val="7EFBC970"/>
    <w:rsid w:val="7F2D0E0D"/>
    <w:rsid w:val="7F62A0E5"/>
    <w:rsid w:val="7F8AF234"/>
    <w:rsid w:val="7FD4E10E"/>
    <w:rsid w:val="7FDAFEF0"/>
    <w:rsid w:val="7FDFA0F9"/>
    <w:rsid w:val="7FEFF3F9"/>
    <w:rsid w:val="7FFAF9F9"/>
    <w:rsid w:val="833B3E2F"/>
    <w:rsid w:val="8DED3938"/>
    <w:rsid w:val="8F7DE1C2"/>
    <w:rsid w:val="9FAC3915"/>
    <w:rsid w:val="A3FFE24E"/>
    <w:rsid w:val="B5F03403"/>
    <w:rsid w:val="B7BFF738"/>
    <w:rsid w:val="BB6FB6D2"/>
    <w:rsid w:val="BB9DE9B6"/>
    <w:rsid w:val="BEF77A81"/>
    <w:rsid w:val="CA5755E2"/>
    <w:rsid w:val="CAEB8C2C"/>
    <w:rsid w:val="CDDFFECB"/>
    <w:rsid w:val="CF5FC15D"/>
    <w:rsid w:val="CF7F601C"/>
    <w:rsid w:val="D73FBEFF"/>
    <w:rsid w:val="D7F7F689"/>
    <w:rsid w:val="DB5D6A50"/>
    <w:rsid w:val="DBEC7FCE"/>
    <w:rsid w:val="DDFD71BE"/>
    <w:rsid w:val="DF7B4A81"/>
    <w:rsid w:val="DFFFB9B0"/>
    <w:rsid w:val="E9FCB32B"/>
    <w:rsid w:val="EDF3BECD"/>
    <w:rsid w:val="EDFFCAC3"/>
    <w:rsid w:val="EE7E991F"/>
    <w:rsid w:val="EEE78E8F"/>
    <w:rsid w:val="EEFF9BA6"/>
    <w:rsid w:val="EF4393E2"/>
    <w:rsid w:val="EFF3015A"/>
    <w:rsid w:val="EFF38891"/>
    <w:rsid w:val="EFF68AA7"/>
    <w:rsid w:val="EFFAA056"/>
    <w:rsid w:val="F314814D"/>
    <w:rsid w:val="F4CF80C7"/>
    <w:rsid w:val="F57F1E2B"/>
    <w:rsid w:val="F69BC85A"/>
    <w:rsid w:val="F6FCBA2C"/>
    <w:rsid w:val="F7FBB4A9"/>
    <w:rsid w:val="F88C681A"/>
    <w:rsid w:val="FB766624"/>
    <w:rsid w:val="FBB59BAE"/>
    <w:rsid w:val="FBBF5E1D"/>
    <w:rsid w:val="FBCFB5E5"/>
    <w:rsid w:val="FCFFFE32"/>
    <w:rsid w:val="FD7724A9"/>
    <w:rsid w:val="FD8E46D6"/>
    <w:rsid w:val="FDBEB2A7"/>
    <w:rsid w:val="FDFD9C94"/>
    <w:rsid w:val="FE9E281E"/>
    <w:rsid w:val="FF3B86B5"/>
    <w:rsid w:val="FF5FB863"/>
    <w:rsid w:val="FF7F888D"/>
    <w:rsid w:val="FFAD35FB"/>
    <w:rsid w:val="FFCE94AB"/>
    <w:rsid w:val="FFDE0829"/>
    <w:rsid w:val="FFFB8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29" w:semiHidden="0" w:name="Quote"/>
    <w:lsdException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eastAsia="宋体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32"/>
    <w:qFormat/>
    <w:uiPriority w:val="9"/>
    <w:pPr>
      <w:keepNext/>
      <w:keepLines/>
      <w:numPr>
        <w:ilvl w:val="0"/>
        <w:numId w:val="1"/>
      </w:numPr>
      <w:spacing w:before="100" w:beforeAutospacing="1" w:after="100" w:afterAutospacing="1" w:line="360" w:lineRule="auto"/>
      <w:outlineLvl w:val="0"/>
    </w:pPr>
    <w:rPr>
      <w:rFonts w:ascii="宋体" w:eastAsia="宋体" w:hAnsiTheme="minorHAnsi" w:cstheme="minorBidi"/>
      <w:b/>
      <w:bCs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link w:val="33"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100" w:afterAutospacing="1" w:line="360" w:lineRule="auto"/>
      <w:outlineLvl w:val="1"/>
    </w:pPr>
    <w:rPr>
      <w:rFonts w:ascii="宋体" w:eastAsia="宋体" w:hAnsiTheme="majorHAnsi" w:cstheme="majorBidi"/>
      <w:b/>
      <w:bCs/>
      <w:kern w:val="2"/>
      <w:sz w:val="30"/>
      <w:szCs w:val="32"/>
      <w:lang w:val="en-US" w:eastAsia="zh-CN" w:bidi="ar-SA"/>
    </w:rPr>
  </w:style>
  <w:style w:type="paragraph" w:styleId="4">
    <w:name w:val="heading 3"/>
    <w:next w:val="1"/>
    <w:link w:val="34"/>
    <w:unhideWhenUsed/>
    <w:qFormat/>
    <w:uiPriority w:val="9"/>
    <w:pPr>
      <w:keepNext/>
      <w:keepLines/>
      <w:numPr>
        <w:ilvl w:val="2"/>
        <w:numId w:val="1"/>
      </w:numPr>
      <w:spacing w:before="100" w:beforeAutospacing="1" w:after="100" w:afterAutospacing="1" w:line="360" w:lineRule="auto"/>
      <w:outlineLvl w:val="2"/>
    </w:pPr>
    <w:rPr>
      <w:rFonts w:ascii="宋体" w:eastAsia="宋体" w:hAnsiTheme="minorHAnsi" w:cstheme="minorBidi"/>
      <w:b/>
      <w:bCs/>
      <w:kern w:val="2"/>
      <w:sz w:val="28"/>
      <w:szCs w:val="32"/>
      <w:lang w:val="en-US" w:eastAsia="zh-CN" w:bidi="ar-SA"/>
    </w:rPr>
  </w:style>
  <w:style w:type="paragraph" w:styleId="5">
    <w:name w:val="heading 4"/>
    <w:next w:val="1"/>
    <w:link w:val="35"/>
    <w:unhideWhenUsed/>
    <w:qFormat/>
    <w:uiPriority w:val="9"/>
    <w:pPr>
      <w:keepNext/>
      <w:keepLines/>
      <w:numPr>
        <w:ilvl w:val="3"/>
        <w:numId w:val="1"/>
      </w:numPr>
      <w:spacing w:before="100" w:beforeAutospacing="1" w:after="100" w:afterAutospacing="1" w:line="360" w:lineRule="auto"/>
      <w:outlineLvl w:val="3"/>
    </w:pPr>
    <w:rPr>
      <w:rFonts w:ascii="宋体" w:eastAsia="宋体" w:hAnsiTheme="majorHAnsi" w:cstheme="majorBidi"/>
      <w:b/>
      <w:bCs/>
      <w:kern w:val="2"/>
      <w:sz w:val="24"/>
      <w:szCs w:val="28"/>
      <w:lang w:val="en-US" w:eastAsia="zh-CN" w:bidi="ar-SA"/>
    </w:rPr>
  </w:style>
  <w:style w:type="paragraph" w:styleId="6">
    <w:name w:val="heading 5"/>
    <w:next w:val="1"/>
    <w:link w:val="36"/>
    <w:unhideWhenUsed/>
    <w:qFormat/>
    <w:uiPriority w:val="9"/>
    <w:pPr>
      <w:keepNext/>
      <w:keepLines/>
      <w:numPr>
        <w:ilvl w:val="4"/>
        <w:numId w:val="1"/>
      </w:numPr>
      <w:spacing w:before="100" w:beforeAutospacing="1" w:after="100" w:afterAutospacing="1" w:line="360" w:lineRule="auto"/>
      <w:outlineLvl w:val="4"/>
    </w:pPr>
    <w:rPr>
      <w:rFonts w:ascii="宋体" w:eastAsia="宋体" w:hAnsiTheme="minorHAnsi" w:cstheme="minorBidi"/>
      <w:b/>
      <w:bCs/>
      <w:kern w:val="2"/>
      <w:sz w:val="24"/>
      <w:szCs w:val="28"/>
      <w:lang w:val="en-US" w:eastAsia="zh-CN" w:bidi="ar-SA"/>
    </w:rPr>
  </w:style>
  <w:style w:type="paragraph" w:styleId="7">
    <w:name w:val="heading 6"/>
    <w:next w:val="1"/>
    <w:link w:val="37"/>
    <w:unhideWhenUsed/>
    <w:qFormat/>
    <w:uiPriority w:val="9"/>
    <w:pPr>
      <w:keepNext/>
      <w:keepLines/>
      <w:numPr>
        <w:ilvl w:val="5"/>
        <w:numId w:val="1"/>
      </w:numPr>
      <w:spacing w:before="100" w:beforeAutospacing="1" w:after="100" w:afterAutospacing="1" w:line="360" w:lineRule="auto"/>
      <w:outlineLvl w:val="5"/>
    </w:pPr>
    <w:rPr>
      <w:rFonts w:ascii="宋体" w:eastAsia="宋体" w:hAnsiTheme="minorHAnsi" w:cstheme="minorBidi"/>
      <w:b/>
      <w:bCs/>
      <w:kern w:val="2"/>
      <w:sz w:val="21"/>
      <w:szCs w:val="32"/>
      <w:lang w:val="en-US" w:eastAsia="zh-CN" w:bidi="ar-SA"/>
    </w:rPr>
  </w:style>
  <w:style w:type="paragraph" w:styleId="8">
    <w:name w:val="heading 7"/>
    <w:next w:val="1"/>
    <w:link w:val="38"/>
    <w:unhideWhenUsed/>
    <w:qFormat/>
    <w:uiPriority w:val="9"/>
    <w:pPr>
      <w:keepNext/>
      <w:keepLines/>
      <w:numPr>
        <w:ilvl w:val="6"/>
        <w:numId w:val="1"/>
      </w:numPr>
      <w:spacing w:before="100" w:beforeAutospacing="1" w:after="100" w:afterAutospacing="1" w:line="360" w:lineRule="auto"/>
      <w:outlineLvl w:val="6"/>
    </w:pPr>
    <w:rPr>
      <w:rFonts w:ascii="宋体" w:eastAsia="宋体" w:hAnsiTheme="minorHAnsi" w:cstheme="minorBidi"/>
      <w:b/>
      <w:bCs/>
      <w:kern w:val="2"/>
      <w:sz w:val="21"/>
      <w:szCs w:val="24"/>
      <w:lang w:val="en-US" w:eastAsia="zh-CN" w:bidi="ar-SA"/>
    </w:rPr>
  </w:style>
  <w:style w:type="paragraph" w:styleId="9">
    <w:name w:val="heading 8"/>
    <w:next w:val="1"/>
    <w:link w:val="39"/>
    <w:unhideWhenUsed/>
    <w:qFormat/>
    <w:uiPriority w:val="9"/>
    <w:pPr>
      <w:keepNext/>
      <w:keepLines/>
      <w:numPr>
        <w:ilvl w:val="7"/>
        <w:numId w:val="1"/>
      </w:numPr>
      <w:spacing w:before="100" w:beforeAutospacing="1" w:after="100" w:afterAutospacing="1" w:line="360" w:lineRule="auto"/>
      <w:outlineLvl w:val="7"/>
    </w:pPr>
    <w:rPr>
      <w:rFonts w:ascii="宋体" w:eastAsia="宋体" w:hAnsiTheme="majorHAnsi" w:cstheme="majorBidi"/>
      <w:b/>
      <w:kern w:val="2"/>
      <w:sz w:val="21"/>
      <w:szCs w:val="24"/>
      <w:lang w:val="en-US" w:eastAsia="zh-CN" w:bidi="ar-SA"/>
    </w:rPr>
  </w:style>
  <w:style w:type="paragraph" w:styleId="10">
    <w:name w:val="heading 9"/>
    <w:next w:val="1"/>
    <w:link w:val="40"/>
    <w:unhideWhenUsed/>
    <w:qFormat/>
    <w:uiPriority w:val="9"/>
    <w:pPr>
      <w:keepNext/>
      <w:keepLines/>
      <w:numPr>
        <w:ilvl w:val="8"/>
        <w:numId w:val="1"/>
      </w:numPr>
      <w:spacing w:before="100" w:beforeAutospacing="1" w:after="100" w:afterAutospacing="1" w:line="360" w:lineRule="auto"/>
      <w:outlineLvl w:val="8"/>
    </w:pPr>
    <w:rPr>
      <w:rFonts w:ascii="宋体" w:eastAsia="宋体" w:hAnsiTheme="majorHAnsi" w:cstheme="majorBidi"/>
      <w:b/>
      <w:kern w:val="2"/>
      <w:sz w:val="21"/>
      <w:szCs w:val="21"/>
      <w:lang w:val="en-US" w:eastAsia="zh-CN" w:bidi="ar-SA"/>
    </w:rPr>
  </w:style>
  <w:style w:type="character" w:default="1" w:styleId="27">
    <w:name w:val="Default Paragraph Font"/>
    <w:semiHidden/>
    <w:unhideWhenUsed/>
    <w:uiPriority w:val="1"/>
  </w:style>
  <w:style w:type="table" w:default="1" w:styleId="2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semiHidden/>
    <w:unhideWhenUsed/>
    <w:uiPriority w:val="39"/>
    <w:pPr>
      <w:ind w:left="1440"/>
      <w:jc w:val="left"/>
    </w:pPr>
    <w:rPr>
      <w:rFonts w:asciiTheme="minorHAnsi" w:eastAsiaTheme="minorHAnsi"/>
      <w:sz w:val="18"/>
      <w:szCs w:val="18"/>
    </w:rPr>
  </w:style>
  <w:style w:type="paragraph" w:styleId="12">
    <w:name w:val="toc 5"/>
    <w:basedOn w:val="1"/>
    <w:next w:val="1"/>
    <w:semiHidden/>
    <w:unhideWhenUsed/>
    <w:uiPriority w:val="39"/>
    <w:pPr>
      <w:ind w:left="960"/>
      <w:jc w:val="left"/>
    </w:pPr>
    <w:rPr>
      <w:rFonts w:asciiTheme="minorHAnsi" w:eastAsiaTheme="minorHAnsi"/>
      <w:sz w:val="18"/>
      <w:szCs w:val="18"/>
    </w:rPr>
  </w:style>
  <w:style w:type="paragraph" w:styleId="13">
    <w:name w:val="toc 3"/>
    <w:basedOn w:val="1"/>
    <w:next w:val="1"/>
    <w:unhideWhenUsed/>
    <w:uiPriority w:val="39"/>
    <w:pPr>
      <w:ind w:left="480"/>
      <w:jc w:val="left"/>
    </w:pPr>
    <w:rPr>
      <w:rFonts w:asciiTheme="minorHAnsi" w:eastAsiaTheme="minorHAnsi"/>
      <w:i/>
      <w:iCs/>
      <w:sz w:val="20"/>
      <w:szCs w:val="20"/>
    </w:rPr>
  </w:style>
  <w:style w:type="paragraph" w:styleId="14">
    <w:name w:val="toc 8"/>
    <w:basedOn w:val="1"/>
    <w:next w:val="1"/>
    <w:semiHidden/>
    <w:unhideWhenUsed/>
    <w:uiPriority w:val="39"/>
    <w:pPr>
      <w:ind w:left="1680"/>
      <w:jc w:val="left"/>
    </w:pPr>
    <w:rPr>
      <w:rFonts w:asciiTheme="minorHAnsi" w:eastAsiaTheme="minorHAnsi"/>
      <w:sz w:val="18"/>
      <w:szCs w:val="18"/>
    </w:rPr>
  </w:style>
  <w:style w:type="paragraph" w:styleId="15">
    <w:name w:val="Balloon Text"/>
    <w:basedOn w:val="1"/>
    <w:link w:val="59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16">
    <w:name w:val="footer"/>
    <w:basedOn w:val="1"/>
    <w:link w:val="56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7">
    <w:name w:val="header"/>
    <w:basedOn w:val="1"/>
    <w:link w:val="5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uiPriority w:val="39"/>
    <w:pPr>
      <w:spacing w:before="120" w:after="120"/>
      <w:jc w:val="left"/>
    </w:pPr>
    <w:rPr>
      <w:rFonts w:asciiTheme="minorHAnsi" w:eastAsiaTheme="minorHAnsi"/>
      <w:b/>
      <w:bCs/>
      <w:caps/>
      <w:sz w:val="20"/>
      <w:szCs w:val="20"/>
    </w:rPr>
  </w:style>
  <w:style w:type="paragraph" w:styleId="19">
    <w:name w:val="toc 4"/>
    <w:basedOn w:val="1"/>
    <w:next w:val="1"/>
    <w:semiHidden/>
    <w:unhideWhenUsed/>
    <w:uiPriority w:val="39"/>
    <w:pPr>
      <w:ind w:left="720"/>
      <w:jc w:val="left"/>
    </w:pPr>
    <w:rPr>
      <w:rFonts w:asciiTheme="minorHAnsi" w:eastAsiaTheme="minorHAnsi"/>
      <w:sz w:val="18"/>
      <w:szCs w:val="18"/>
    </w:rPr>
  </w:style>
  <w:style w:type="paragraph" w:styleId="20">
    <w:name w:val="Subtitle"/>
    <w:next w:val="1"/>
    <w:link w:val="57"/>
    <w:qFormat/>
    <w:uiPriority w:val="11"/>
    <w:pPr>
      <w:spacing w:before="100" w:beforeAutospacing="1" w:after="100" w:afterAutospacing="1" w:line="360" w:lineRule="auto"/>
      <w:jc w:val="center"/>
    </w:pPr>
    <w:rPr>
      <w:rFonts w:ascii="宋体" w:eastAsia="宋体" w:hAnsiTheme="minorHAnsi" w:cstheme="minorBidi"/>
      <w:b/>
      <w:bCs/>
      <w:kern w:val="28"/>
      <w:sz w:val="36"/>
      <w:szCs w:val="32"/>
      <w:lang w:val="en-US" w:eastAsia="zh-CN" w:bidi="ar-SA"/>
    </w:rPr>
  </w:style>
  <w:style w:type="paragraph" w:styleId="21">
    <w:name w:val="toc 6"/>
    <w:basedOn w:val="1"/>
    <w:next w:val="1"/>
    <w:semiHidden/>
    <w:unhideWhenUsed/>
    <w:uiPriority w:val="39"/>
    <w:pPr>
      <w:ind w:left="1200"/>
      <w:jc w:val="left"/>
    </w:pPr>
    <w:rPr>
      <w:rFonts w:asciiTheme="minorHAnsi" w:eastAsiaTheme="minorHAnsi"/>
      <w:sz w:val="18"/>
      <w:szCs w:val="18"/>
    </w:rPr>
  </w:style>
  <w:style w:type="paragraph" w:styleId="22">
    <w:name w:val="toc 2"/>
    <w:basedOn w:val="1"/>
    <w:next w:val="1"/>
    <w:unhideWhenUsed/>
    <w:uiPriority w:val="39"/>
    <w:pPr>
      <w:ind w:left="240"/>
      <w:jc w:val="left"/>
    </w:pPr>
    <w:rPr>
      <w:rFonts w:asciiTheme="minorHAnsi" w:eastAsiaTheme="minorHAnsi"/>
      <w:smallCaps/>
      <w:sz w:val="20"/>
      <w:szCs w:val="20"/>
    </w:rPr>
  </w:style>
  <w:style w:type="paragraph" w:styleId="23">
    <w:name w:val="toc 9"/>
    <w:basedOn w:val="1"/>
    <w:next w:val="1"/>
    <w:semiHidden/>
    <w:unhideWhenUsed/>
    <w:uiPriority w:val="39"/>
    <w:pPr>
      <w:ind w:left="1920"/>
      <w:jc w:val="left"/>
    </w:pPr>
    <w:rPr>
      <w:rFonts w:asciiTheme="minorHAnsi" w:eastAsiaTheme="minorHAnsi"/>
      <w:sz w:val="18"/>
      <w:szCs w:val="18"/>
    </w:rPr>
  </w:style>
  <w:style w:type="paragraph" w:styleId="24">
    <w:name w:val="Title"/>
    <w:next w:val="1"/>
    <w:link w:val="41"/>
    <w:qFormat/>
    <w:uiPriority w:val="10"/>
    <w:pPr>
      <w:spacing w:before="100" w:beforeAutospacing="1" w:after="100" w:afterAutospacing="1" w:line="360" w:lineRule="auto"/>
      <w:jc w:val="center"/>
    </w:pPr>
    <w:rPr>
      <w:rFonts w:ascii="宋体" w:eastAsia="宋体" w:hAnsiTheme="majorHAnsi" w:cstheme="majorBidi"/>
      <w:b/>
      <w:bCs/>
      <w:kern w:val="2"/>
      <w:sz w:val="44"/>
      <w:szCs w:val="32"/>
      <w:lang w:val="en-US" w:eastAsia="zh-CN" w:bidi="ar-SA"/>
    </w:rPr>
  </w:style>
  <w:style w:type="table" w:styleId="26">
    <w:name w:val="Table Grid"/>
    <w:basedOn w:val="2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iPriority w:val="22"/>
    <w:rPr>
      <w:b/>
      <w:bCs/>
    </w:rPr>
  </w:style>
  <w:style w:type="character" w:styleId="29">
    <w:name w:val="FollowedHyperlink"/>
    <w:basedOn w:val="27"/>
    <w:semiHidden/>
    <w:unhideWhenUsed/>
    <w:uiPriority w:val="99"/>
    <w:rPr>
      <w:color w:val="954F72" w:themeColor="followedHyperlink"/>
      <w:u w:val="single"/>
    </w:rPr>
  </w:style>
  <w:style w:type="character" w:styleId="30">
    <w:name w:val="Emphasis"/>
    <w:basedOn w:val="27"/>
    <w:uiPriority w:val="20"/>
    <w:rPr>
      <w:i/>
      <w:iCs/>
    </w:rPr>
  </w:style>
  <w:style w:type="character" w:styleId="31">
    <w:name w:val="Hyperlink"/>
    <w:basedOn w:val="27"/>
    <w:unhideWhenUsed/>
    <w:uiPriority w:val="99"/>
    <w:rPr>
      <w:color w:val="0000FF"/>
      <w:u w:val="single"/>
    </w:rPr>
  </w:style>
  <w:style w:type="character" w:customStyle="1" w:styleId="32">
    <w:name w:val="标题 1 字符"/>
    <w:basedOn w:val="27"/>
    <w:link w:val="2"/>
    <w:uiPriority w:val="9"/>
    <w:rPr>
      <w:rFonts w:ascii="宋体" w:eastAsia="宋体"/>
      <w:b/>
      <w:bCs/>
      <w:kern w:val="44"/>
      <w:sz w:val="32"/>
      <w:szCs w:val="44"/>
    </w:rPr>
  </w:style>
  <w:style w:type="character" w:customStyle="1" w:styleId="33">
    <w:name w:val="标题 2 字符"/>
    <w:basedOn w:val="27"/>
    <w:link w:val="3"/>
    <w:uiPriority w:val="9"/>
    <w:rPr>
      <w:rFonts w:ascii="宋体" w:eastAsia="宋体" w:hAnsiTheme="majorHAnsi" w:cstheme="majorBidi"/>
      <w:b/>
      <w:bCs/>
      <w:sz w:val="30"/>
      <w:szCs w:val="32"/>
    </w:rPr>
  </w:style>
  <w:style w:type="character" w:customStyle="1" w:styleId="34">
    <w:name w:val="标题 3 字符"/>
    <w:basedOn w:val="27"/>
    <w:link w:val="4"/>
    <w:uiPriority w:val="9"/>
    <w:rPr>
      <w:rFonts w:ascii="宋体" w:eastAsia="宋体"/>
      <w:b/>
      <w:bCs/>
      <w:sz w:val="28"/>
      <w:szCs w:val="32"/>
    </w:rPr>
  </w:style>
  <w:style w:type="character" w:customStyle="1" w:styleId="35">
    <w:name w:val="标题 4 字符"/>
    <w:basedOn w:val="27"/>
    <w:link w:val="5"/>
    <w:uiPriority w:val="9"/>
    <w:rPr>
      <w:rFonts w:ascii="宋体" w:eastAsia="宋体" w:hAnsiTheme="majorHAnsi" w:cstheme="majorBidi"/>
      <w:b/>
      <w:bCs/>
      <w:sz w:val="24"/>
      <w:szCs w:val="28"/>
    </w:rPr>
  </w:style>
  <w:style w:type="character" w:customStyle="1" w:styleId="36">
    <w:name w:val="标题 5 字符"/>
    <w:basedOn w:val="27"/>
    <w:link w:val="6"/>
    <w:uiPriority w:val="9"/>
    <w:rPr>
      <w:rFonts w:ascii="宋体" w:eastAsia="宋体"/>
      <w:b/>
      <w:bCs/>
      <w:sz w:val="24"/>
      <w:szCs w:val="28"/>
    </w:rPr>
  </w:style>
  <w:style w:type="character" w:customStyle="1" w:styleId="37">
    <w:name w:val="标题 6 字符"/>
    <w:basedOn w:val="27"/>
    <w:link w:val="7"/>
    <w:uiPriority w:val="9"/>
    <w:rPr>
      <w:rFonts w:ascii="宋体" w:eastAsia="宋体"/>
      <w:b/>
      <w:bCs/>
      <w:szCs w:val="32"/>
    </w:rPr>
  </w:style>
  <w:style w:type="character" w:customStyle="1" w:styleId="38">
    <w:name w:val="标题 7 字符"/>
    <w:basedOn w:val="27"/>
    <w:link w:val="8"/>
    <w:uiPriority w:val="9"/>
    <w:rPr>
      <w:rFonts w:ascii="宋体" w:eastAsia="宋体"/>
      <w:b/>
      <w:bCs/>
      <w:szCs w:val="24"/>
    </w:rPr>
  </w:style>
  <w:style w:type="character" w:customStyle="1" w:styleId="39">
    <w:name w:val="标题 8 字符"/>
    <w:basedOn w:val="27"/>
    <w:link w:val="9"/>
    <w:uiPriority w:val="9"/>
    <w:rPr>
      <w:rFonts w:ascii="宋体" w:eastAsia="宋体" w:hAnsiTheme="majorHAnsi" w:cstheme="majorBidi"/>
      <w:b/>
      <w:szCs w:val="24"/>
    </w:rPr>
  </w:style>
  <w:style w:type="character" w:customStyle="1" w:styleId="40">
    <w:name w:val="标题 9 字符"/>
    <w:basedOn w:val="27"/>
    <w:link w:val="10"/>
    <w:uiPriority w:val="9"/>
    <w:rPr>
      <w:rFonts w:ascii="宋体" w:eastAsia="宋体" w:hAnsiTheme="majorHAnsi" w:cstheme="majorBidi"/>
      <w:b/>
      <w:szCs w:val="21"/>
    </w:rPr>
  </w:style>
  <w:style w:type="character" w:customStyle="1" w:styleId="41">
    <w:name w:val="标题 字符"/>
    <w:basedOn w:val="27"/>
    <w:link w:val="24"/>
    <w:uiPriority w:val="10"/>
    <w:rPr>
      <w:rFonts w:ascii="宋体" w:eastAsia="宋体" w:hAnsiTheme="majorHAnsi" w:cstheme="majorBidi"/>
      <w:b/>
      <w:bCs/>
      <w:sz w:val="44"/>
      <w:szCs w:val="32"/>
    </w:rPr>
  </w:style>
  <w:style w:type="character" w:customStyle="1" w:styleId="42">
    <w:name w:val="Intense Emphasis"/>
    <w:basedOn w:val="27"/>
    <w:uiPriority w:val="21"/>
    <w:rPr>
      <w:i/>
      <w:iCs/>
      <w:color w:val="5B9BD5" w:themeColor="accent1"/>
    </w:rPr>
  </w:style>
  <w:style w:type="paragraph" w:styleId="43">
    <w:name w:val="No Spacing"/>
    <w:uiPriority w:val="1"/>
    <w:pPr>
      <w:widowControl w:val="0"/>
      <w:ind w:firstLine="200" w:firstLineChars="200"/>
      <w:jc w:val="both"/>
    </w:pPr>
    <w:rPr>
      <w:rFonts w:ascii="宋体" w:eastAsia="宋体" w:hAnsiTheme="minorHAnsi" w:cstheme="minorBidi"/>
      <w:kern w:val="2"/>
      <w:sz w:val="24"/>
      <w:szCs w:val="22"/>
      <w:lang w:val="en-US" w:eastAsia="zh-CN" w:bidi="ar-SA"/>
    </w:rPr>
  </w:style>
  <w:style w:type="character" w:customStyle="1" w:styleId="44">
    <w:name w:val="Subtle Emphasis"/>
    <w:basedOn w:val="27"/>
    <w:uiPriority w:val="19"/>
    <w:rPr>
      <w:i/>
      <w:iCs/>
      <w:color w:val="3F3F3F" w:themeColor="text1" w:themeTint="BF"/>
    </w:rPr>
  </w:style>
  <w:style w:type="paragraph" w:styleId="45">
    <w:name w:val="Quote"/>
    <w:basedOn w:val="1"/>
    <w:next w:val="1"/>
    <w:link w:val="46"/>
    <w:uiPriority w:val="29"/>
    <w:pPr>
      <w:spacing w:before="200" w:after="160"/>
      <w:ind w:left="864" w:right="864"/>
      <w:jc w:val="center"/>
    </w:pPr>
    <w:rPr>
      <w:i/>
      <w:iCs/>
      <w:color w:val="3F3F3F" w:themeColor="text1" w:themeTint="BF"/>
    </w:rPr>
  </w:style>
  <w:style w:type="character" w:customStyle="1" w:styleId="46">
    <w:name w:val="引用 字符"/>
    <w:basedOn w:val="27"/>
    <w:link w:val="45"/>
    <w:uiPriority w:val="29"/>
    <w:rPr>
      <w:rFonts w:ascii="宋体" w:eastAsia="宋体"/>
      <w:i/>
      <w:iCs/>
      <w:color w:val="3F3F3F" w:themeColor="text1" w:themeTint="BF"/>
      <w:sz w:val="24"/>
    </w:rPr>
  </w:style>
  <w:style w:type="paragraph" w:styleId="47">
    <w:name w:val="Intense Quote"/>
    <w:basedOn w:val="1"/>
    <w:next w:val="1"/>
    <w:link w:val="48"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48">
    <w:name w:val="明显引用 字符"/>
    <w:basedOn w:val="27"/>
    <w:link w:val="47"/>
    <w:uiPriority w:val="30"/>
    <w:rPr>
      <w:rFonts w:ascii="宋体" w:eastAsia="宋体"/>
      <w:i/>
      <w:iCs/>
      <w:color w:val="5B9BD5" w:themeColor="accent1"/>
      <w:sz w:val="24"/>
    </w:rPr>
  </w:style>
  <w:style w:type="character" w:customStyle="1" w:styleId="49">
    <w:name w:val="Subtle Reference"/>
    <w:basedOn w:val="27"/>
    <w:uiPriority w:val="31"/>
    <w:rPr>
      <w:smallCaps/>
      <w:color w:val="595959" w:themeColor="text1" w:themeTint="A5"/>
    </w:rPr>
  </w:style>
  <w:style w:type="character" w:customStyle="1" w:styleId="50">
    <w:name w:val="Intense Reference"/>
    <w:basedOn w:val="27"/>
    <w:uiPriority w:val="32"/>
    <w:rPr>
      <w:b/>
      <w:bCs/>
      <w:smallCaps/>
      <w:color w:val="5B9BD5" w:themeColor="accent1"/>
      <w:spacing w:val="5"/>
    </w:rPr>
  </w:style>
  <w:style w:type="character" w:customStyle="1" w:styleId="51">
    <w:name w:val="Book Title"/>
    <w:basedOn w:val="27"/>
    <w:uiPriority w:val="33"/>
    <w:rPr>
      <w:b/>
      <w:bCs/>
      <w:i/>
      <w:iCs/>
      <w:spacing w:val="5"/>
    </w:rPr>
  </w:style>
  <w:style w:type="paragraph" w:styleId="52">
    <w:name w:val="List Paragraph"/>
    <w:basedOn w:val="1"/>
    <w:qFormat/>
    <w:uiPriority w:val="34"/>
    <w:pPr>
      <w:ind w:firstLine="420"/>
    </w:pPr>
  </w:style>
  <w:style w:type="table" w:customStyle="1" w:styleId="53">
    <w:name w:val="表格"/>
    <w:basedOn w:val="25"/>
    <w:uiPriority w:val="99"/>
    <w:rPr>
      <w:rFonts w:ascii="宋体" w:hAnsi="宋体" w:eastAsia="宋体"/>
    </w:rPr>
    <w:tblPr>
      <w:tblBorders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  <w:insideH w:val="single" w:color="auto" w:sz="8" w:space="0"/>
        <w:insideV w:val="single" w:color="auto" w:sz="8" w:space="0"/>
      </w:tblBorders>
    </w:tblPr>
    <w:tcPr>
      <w:vAlign w:val="center"/>
    </w:tcPr>
  </w:style>
  <w:style w:type="table" w:customStyle="1" w:styleId="54">
    <w:name w:val="文章表格"/>
    <w:basedOn w:val="25"/>
    <w:uiPriority w:val="99"/>
    <w:rPr>
      <w:rFonts w:ascii="宋体" w:hAnsi="宋体" w:eastAsia="宋体"/>
    </w:rPr>
    <w:tblPr>
      <w:tblBorders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  <w:insideH w:val="single" w:color="auto" w:sz="8" w:space="0"/>
        <w:insideV w:val="single" w:color="auto" w:sz="8" w:space="0"/>
      </w:tblBorders>
    </w:tblPr>
    <w:tcPr>
      <w:vAlign w:val="center"/>
    </w:tcPr>
  </w:style>
  <w:style w:type="character" w:customStyle="1" w:styleId="55">
    <w:name w:val="页眉 字符"/>
    <w:basedOn w:val="27"/>
    <w:link w:val="17"/>
    <w:uiPriority w:val="99"/>
    <w:rPr>
      <w:rFonts w:ascii="宋体" w:eastAsia="宋体"/>
      <w:sz w:val="18"/>
      <w:szCs w:val="18"/>
    </w:rPr>
  </w:style>
  <w:style w:type="character" w:customStyle="1" w:styleId="56">
    <w:name w:val="页脚 字符"/>
    <w:basedOn w:val="27"/>
    <w:link w:val="16"/>
    <w:uiPriority w:val="99"/>
    <w:rPr>
      <w:rFonts w:ascii="宋体" w:eastAsia="宋体"/>
      <w:sz w:val="18"/>
      <w:szCs w:val="18"/>
    </w:rPr>
  </w:style>
  <w:style w:type="character" w:customStyle="1" w:styleId="57">
    <w:name w:val="副标题 字符"/>
    <w:basedOn w:val="27"/>
    <w:link w:val="20"/>
    <w:uiPriority w:val="11"/>
    <w:rPr>
      <w:rFonts w:ascii="宋体" w:eastAsia="宋体"/>
      <w:b/>
      <w:bCs/>
      <w:kern w:val="28"/>
      <w:sz w:val="36"/>
      <w:szCs w:val="32"/>
    </w:rPr>
  </w:style>
  <w:style w:type="table" w:customStyle="1" w:styleId="58">
    <w:name w:val="无格式表格 11"/>
    <w:basedOn w:val="25"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59">
    <w:name w:val="批注框文本 字符"/>
    <w:basedOn w:val="27"/>
    <w:link w:val="15"/>
    <w:semiHidden/>
    <w:uiPriority w:val="99"/>
    <w:rPr>
      <w:rFonts w:ascii="宋体" w:eastAsia="宋体"/>
      <w:sz w:val="18"/>
      <w:szCs w:val="18"/>
    </w:rPr>
  </w:style>
  <w:style w:type="character" w:customStyle="1" w:styleId="60">
    <w:name w:val="未处理的提及1"/>
    <w:basedOn w:val="27"/>
    <w:semiHidden/>
    <w:unhideWhenUsed/>
    <w:uiPriority w:val="99"/>
    <w:rPr>
      <w:color w:val="605E5C"/>
      <w:shd w:val="clear" w:color="auto" w:fill="E1DFDD"/>
    </w:rPr>
  </w:style>
  <w:style w:type="paragraph" w:customStyle="1" w:styleId="61">
    <w:name w:val="TOC Heading"/>
    <w:basedOn w:val="2"/>
    <w:next w:val="1"/>
    <w:unhideWhenUsed/>
    <w:qFormat/>
    <w:uiPriority w:val="39"/>
    <w:pPr>
      <w:numPr>
        <w:numId w:val="0"/>
      </w:numPr>
      <w:spacing w:before="480" w:beforeAutospacing="0" w:after="0" w:afterAutospacing="0" w:line="276" w:lineRule="auto"/>
      <w:outlineLvl w:val="9"/>
    </w:pPr>
    <w:rPr>
      <w:rFonts w:asciiTheme="majorHAnsi" w:hAnsiTheme="majorHAnsi" w:eastAsiaTheme="majorEastAsia" w:cstheme="majorBidi"/>
      <w:color w:val="2E75B5" w:themeColor="accent1" w:themeShade="BF"/>
      <w:kern w:val="0"/>
      <w:sz w:val="28"/>
      <w:szCs w:val="28"/>
    </w:rPr>
  </w:style>
  <w:style w:type="character" w:customStyle="1" w:styleId="62">
    <w:name w:val="Unresolved Mention"/>
    <w:basedOn w:val="27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tiff"/><Relationship Id="rId93" Type="http://schemas.openxmlformats.org/officeDocument/2006/relationships/image" Target="media/image82.tiff"/><Relationship Id="rId92" Type="http://schemas.openxmlformats.org/officeDocument/2006/relationships/image" Target="media/image81.tiff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2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5" Type="http://schemas.openxmlformats.org/officeDocument/2006/relationships/fontTable" Target="fontTable.xml"/><Relationship Id="rId104" Type="http://schemas.openxmlformats.org/officeDocument/2006/relationships/numbering" Target="numbering.xml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46</Pages>
  <Words>1488</Words>
  <Characters>8487</Characters>
  <Lines>70</Lines>
  <Paragraphs>19</Paragraphs>
  <TotalTime>0</TotalTime>
  <ScaleCrop>false</ScaleCrop>
  <LinksUpToDate>false</LinksUpToDate>
  <CharactersWithSpaces>9956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2016-12-05T19:35:00Z</dcterms:created>
  <dc:creator>Tamas Huang</dc:creator>
  <cp:lastModifiedBy>12345上山打老虎</cp:lastModifiedBy>
  <dcterms:modified xsi:type="dcterms:W3CDTF">2024-04-01T11:37:27Z</dcterms:modified>
  <cp:revision>187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A42207EA7E01B8D4B81F0A66C9327472_42</vt:lpwstr>
  </property>
</Properties>
</file>